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EAC53" w14:textId="77777777" w:rsidR="00BE5957" w:rsidRPr="007A13BD" w:rsidRDefault="00BE5957" w:rsidP="00BE5957">
      <w:pPr>
        <w:pStyle w:val="3"/>
        <w:spacing w:before="0" w:after="0" w:line="360" w:lineRule="auto"/>
        <w:ind w:firstLineChars="196" w:firstLine="551"/>
        <w:rPr>
          <w:rFonts w:ascii="宋体" w:hAnsi="宋体"/>
          <w:sz w:val="28"/>
        </w:rPr>
      </w:pPr>
      <w:bookmarkStart w:id="0" w:name="_Toc110097040"/>
      <w:r>
        <w:rPr>
          <w:rFonts w:ascii="宋体" w:hAnsi="宋体" w:hint="eastAsia"/>
          <w:sz w:val="28"/>
        </w:rPr>
        <w:t>十</w:t>
      </w:r>
      <w:r w:rsidRPr="007A13BD">
        <w:rPr>
          <w:rFonts w:ascii="宋体" w:hAnsi="宋体" w:hint="eastAsia"/>
          <w:sz w:val="28"/>
        </w:rPr>
        <w:t>、实践教学体系</w:t>
      </w:r>
      <w:bookmarkEnd w:id="0"/>
    </w:p>
    <w:p w14:paraId="46D5AC24" w14:textId="77777777" w:rsidR="00BE5957" w:rsidRDefault="00BE5957" w:rsidP="00BE5957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bookmarkStart w:id="1" w:name="_Toc485139680"/>
      <w:bookmarkStart w:id="2" w:name="_Toc485646561"/>
      <w:bookmarkStart w:id="3" w:name="_Toc482825109"/>
      <w:bookmarkStart w:id="4" w:name="_Toc484298638"/>
      <w:bookmarkStart w:id="5" w:name="_Toc484962433"/>
      <w:r>
        <w:rPr>
          <w:rFonts w:ascii="宋体" w:hAnsi="宋体" w:hint="eastAsia"/>
          <w:sz w:val="24"/>
        </w:rPr>
        <w:t>1.</w:t>
      </w:r>
      <w:r>
        <w:rPr>
          <w:rFonts w:ascii="宋体" w:hAnsi="宋体" w:hint="eastAsia"/>
          <w:sz w:val="24"/>
        </w:rPr>
        <w:t>公共实践环节</w:t>
      </w:r>
      <w:bookmarkEnd w:id="1"/>
      <w:bookmarkEnd w:id="2"/>
      <w:bookmarkEnd w:id="3"/>
      <w:bookmarkEnd w:id="4"/>
      <w:bookmarkEnd w:id="5"/>
    </w:p>
    <w:p w14:paraId="0E39BF91" w14:textId="77777777" w:rsidR="00BE5957" w:rsidRDefault="00BE5957" w:rsidP="00BE5957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包括军事技能、劳动教育。</w:t>
      </w:r>
    </w:p>
    <w:p w14:paraId="5876D306" w14:textId="77777777" w:rsidR="00BE5957" w:rsidRPr="000723EC" w:rsidRDefault="00BE5957" w:rsidP="00BE5957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0723EC">
        <w:rPr>
          <w:rFonts w:ascii="宋体" w:eastAsia="宋体" w:hAnsi="宋体" w:cs="宋体" w:hint="eastAsia"/>
          <w:sz w:val="24"/>
        </w:rPr>
        <w:t>①</w:t>
      </w:r>
      <w:r w:rsidRPr="000723EC">
        <w:rPr>
          <w:rFonts w:ascii="宋体" w:hAnsi="宋体" w:hint="eastAsia"/>
          <w:sz w:val="24"/>
        </w:rPr>
        <w:t>军事技能，计</w:t>
      </w:r>
      <w:r w:rsidRPr="000723EC">
        <w:rPr>
          <w:rFonts w:ascii="宋体" w:hAnsi="宋体" w:hint="eastAsia"/>
          <w:sz w:val="24"/>
        </w:rPr>
        <w:t>2</w:t>
      </w:r>
      <w:r w:rsidRPr="000723EC">
        <w:rPr>
          <w:rFonts w:ascii="宋体" w:hAnsi="宋体" w:hint="eastAsia"/>
          <w:sz w:val="24"/>
        </w:rPr>
        <w:t>学分。新生入学后集中进行。</w:t>
      </w:r>
    </w:p>
    <w:p w14:paraId="618A739B" w14:textId="77777777" w:rsidR="00BE5957" w:rsidRDefault="00BE5957" w:rsidP="00BE5957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0723EC">
        <w:rPr>
          <w:rFonts w:ascii="宋体" w:eastAsia="宋体" w:hAnsi="宋体" w:cs="宋体" w:hint="eastAsia"/>
          <w:sz w:val="24"/>
        </w:rPr>
        <w:t>②</w:t>
      </w:r>
      <w:r w:rsidRPr="000723EC">
        <w:rPr>
          <w:rFonts w:ascii="宋体" w:hAnsi="宋体" w:hint="eastAsia"/>
          <w:sz w:val="24"/>
        </w:rPr>
        <w:t>劳动教育模块包括环境保护类劳动和志愿服务类劳动</w:t>
      </w:r>
      <w:r w:rsidRPr="000723EC">
        <w:rPr>
          <w:rFonts w:ascii="宋体" w:hAnsi="宋体"/>
          <w:sz w:val="24"/>
        </w:rPr>
        <w:t>,</w:t>
      </w:r>
      <w:r w:rsidRPr="000723EC">
        <w:rPr>
          <w:rFonts w:ascii="宋体" w:hAnsi="宋体" w:hint="eastAsia"/>
          <w:sz w:val="24"/>
        </w:rPr>
        <w:t xml:space="preserve"> </w:t>
      </w:r>
      <w:r w:rsidRPr="000723EC">
        <w:rPr>
          <w:rFonts w:ascii="宋体" w:hAnsi="宋体" w:hint="eastAsia"/>
          <w:sz w:val="24"/>
        </w:rPr>
        <w:t>在《新时代高职院校劳动教育》实施。</w:t>
      </w:r>
    </w:p>
    <w:p w14:paraId="1781E6C4" w14:textId="77777777" w:rsidR="00BE5957" w:rsidRDefault="00BE5957" w:rsidP="00BE5957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bookmarkStart w:id="6" w:name="_Toc482825110"/>
      <w:bookmarkStart w:id="7" w:name="_Toc484298639"/>
      <w:bookmarkStart w:id="8" w:name="_Toc484962434"/>
      <w:bookmarkStart w:id="9" w:name="_Toc485139681"/>
      <w:bookmarkStart w:id="10" w:name="_Toc485646562"/>
      <w:r>
        <w:rPr>
          <w:rFonts w:ascii="宋体" w:hAnsi="宋体" w:hint="eastAsia"/>
          <w:sz w:val="24"/>
        </w:rPr>
        <w:t>2.</w:t>
      </w:r>
      <w:r>
        <w:rPr>
          <w:rFonts w:ascii="宋体" w:hAnsi="宋体" w:hint="eastAsia"/>
          <w:sz w:val="24"/>
        </w:rPr>
        <w:t>课程实践环节</w:t>
      </w:r>
      <w:bookmarkEnd w:id="6"/>
      <w:bookmarkEnd w:id="7"/>
      <w:bookmarkEnd w:id="8"/>
      <w:bookmarkEnd w:id="9"/>
      <w:bookmarkEnd w:id="10"/>
    </w:p>
    <w:p w14:paraId="6D7E9E6E" w14:textId="77777777" w:rsidR="00BE5957" w:rsidRDefault="00BE5957" w:rsidP="00BE5957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0723EC">
        <w:rPr>
          <w:rFonts w:ascii="宋体" w:hAnsi="宋体" w:hint="eastAsia"/>
          <w:sz w:val="24"/>
        </w:rPr>
        <w:t>包括人才培养方案中每门课程中的实训教学部分，与课程教学同步安排，学分计入该课程总学分。</w:t>
      </w:r>
      <w:bookmarkStart w:id="11" w:name="_Toc482825111"/>
      <w:bookmarkStart w:id="12" w:name="_Toc484298640"/>
      <w:bookmarkStart w:id="13" w:name="_Toc484962435"/>
      <w:bookmarkStart w:id="14" w:name="_Toc485139682"/>
      <w:bookmarkStart w:id="15" w:name="_Toc485646563"/>
      <w:r w:rsidRPr="000723EC">
        <w:rPr>
          <w:rFonts w:ascii="宋体" w:hAnsi="宋体" w:hint="eastAsia"/>
          <w:sz w:val="24"/>
        </w:rPr>
        <w:t>课程实践环节既要重视学生的劳动知识和技能学习，又要结合专业特点和定位，融入劳动精神、劳模精神、工匠精神相关内容。</w:t>
      </w:r>
    </w:p>
    <w:p w14:paraId="2D90C8C4" w14:textId="77777777" w:rsidR="00BE5957" w:rsidRDefault="00BE5957" w:rsidP="00BE5957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3.</w:t>
      </w:r>
      <w:r>
        <w:rPr>
          <w:rFonts w:ascii="宋体" w:hAnsi="宋体" w:hint="eastAsia"/>
          <w:sz w:val="24"/>
        </w:rPr>
        <w:t>实习环节</w:t>
      </w:r>
      <w:bookmarkEnd w:id="11"/>
      <w:bookmarkEnd w:id="12"/>
      <w:bookmarkEnd w:id="13"/>
      <w:bookmarkEnd w:id="14"/>
      <w:bookmarkEnd w:id="15"/>
    </w:p>
    <w:p w14:paraId="2672C2C6" w14:textId="77777777" w:rsidR="00BE5957" w:rsidRPr="000723EC" w:rsidRDefault="00BE5957" w:rsidP="00BE5957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0723EC">
        <w:rPr>
          <w:rFonts w:ascii="宋体" w:hAnsi="宋体" w:hint="eastAsia"/>
          <w:sz w:val="24"/>
        </w:rPr>
        <w:t>实习包括认知实习，</w:t>
      </w:r>
      <w:r w:rsidRPr="000723EC">
        <w:rPr>
          <w:rFonts w:ascii="宋体" w:hAnsi="宋体" w:hint="eastAsia"/>
          <w:sz w:val="24"/>
        </w:rPr>
        <w:t>1</w:t>
      </w:r>
      <w:r w:rsidRPr="000723EC">
        <w:rPr>
          <w:rFonts w:ascii="宋体" w:hAnsi="宋体" w:hint="eastAsia"/>
          <w:sz w:val="24"/>
        </w:rPr>
        <w:t>学分，</w:t>
      </w:r>
      <w:r w:rsidRPr="000723EC">
        <w:rPr>
          <w:rFonts w:ascii="宋体" w:hAnsi="宋体"/>
          <w:sz w:val="24"/>
        </w:rPr>
        <w:t>16</w:t>
      </w:r>
      <w:r w:rsidRPr="000723EC">
        <w:rPr>
          <w:rFonts w:ascii="宋体" w:hAnsi="宋体" w:hint="eastAsia"/>
          <w:sz w:val="24"/>
        </w:rPr>
        <w:t>学时，一般安排在第</w:t>
      </w:r>
      <w:r w:rsidRPr="000723EC">
        <w:rPr>
          <w:rFonts w:ascii="宋体" w:hAnsi="宋体" w:hint="eastAsia"/>
          <w:sz w:val="24"/>
        </w:rPr>
        <w:t>1</w:t>
      </w:r>
      <w:r w:rsidRPr="000723EC">
        <w:rPr>
          <w:rFonts w:ascii="宋体" w:hAnsi="宋体" w:hint="eastAsia"/>
          <w:sz w:val="24"/>
        </w:rPr>
        <w:t>或者第</w:t>
      </w:r>
      <w:r w:rsidRPr="000723EC">
        <w:rPr>
          <w:rFonts w:ascii="宋体" w:hAnsi="宋体" w:hint="eastAsia"/>
          <w:sz w:val="24"/>
        </w:rPr>
        <w:t>2</w:t>
      </w:r>
      <w:r w:rsidRPr="000723EC">
        <w:rPr>
          <w:rFonts w:ascii="宋体" w:hAnsi="宋体" w:hint="eastAsia"/>
          <w:sz w:val="24"/>
        </w:rPr>
        <w:t>学期；岗位实习，</w:t>
      </w:r>
      <w:r w:rsidRPr="000723EC">
        <w:rPr>
          <w:rFonts w:ascii="宋体" w:hAnsi="宋体" w:hint="eastAsia"/>
          <w:sz w:val="24"/>
        </w:rPr>
        <w:t>6</w:t>
      </w:r>
      <w:r w:rsidRPr="000723EC">
        <w:rPr>
          <w:rFonts w:ascii="宋体" w:hAnsi="宋体" w:hint="eastAsia"/>
          <w:sz w:val="24"/>
        </w:rPr>
        <w:t>个月（</w:t>
      </w:r>
      <w:r w:rsidRPr="000723EC">
        <w:rPr>
          <w:rFonts w:ascii="宋体" w:hAnsi="宋体" w:hint="eastAsia"/>
          <w:sz w:val="24"/>
        </w:rPr>
        <w:t>2</w:t>
      </w:r>
      <w:r w:rsidRPr="000723EC">
        <w:rPr>
          <w:rFonts w:ascii="宋体" w:hAnsi="宋体"/>
          <w:sz w:val="24"/>
        </w:rPr>
        <w:t>4</w:t>
      </w:r>
      <w:r w:rsidRPr="000723EC">
        <w:rPr>
          <w:rFonts w:ascii="宋体" w:hAnsi="宋体" w:hint="eastAsia"/>
          <w:sz w:val="24"/>
        </w:rPr>
        <w:t>个周），</w:t>
      </w:r>
      <w:r w:rsidRPr="000723EC">
        <w:rPr>
          <w:rFonts w:ascii="宋体" w:hAnsi="宋体" w:hint="eastAsia"/>
          <w:sz w:val="24"/>
        </w:rPr>
        <w:t>1</w:t>
      </w:r>
      <w:r w:rsidRPr="000723EC">
        <w:rPr>
          <w:rFonts w:ascii="宋体" w:hAnsi="宋体"/>
          <w:sz w:val="24"/>
        </w:rPr>
        <w:t>2</w:t>
      </w:r>
      <w:r w:rsidRPr="000723EC">
        <w:rPr>
          <w:rFonts w:ascii="宋体" w:hAnsi="宋体" w:hint="eastAsia"/>
          <w:sz w:val="24"/>
        </w:rPr>
        <w:t>学分，一般安排在第</w:t>
      </w:r>
      <w:r w:rsidRPr="000723EC">
        <w:rPr>
          <w:rFonts w:ascii="宋体" w:hAnsi="宋体" w:hint="eastAsia"/>
          <w:sz w:val="24"/>
        </w:rPr>
        <w:t>5</w:t>
      </w:r>
      <w:r w:rsidRPr="000723EC">
        <w:rPr>
          <w:rFonts w:ascii="宋体" w:hAnsi="宋体" w:hint="eastAsia"/>
          <w:sz w:val="24"/>
        </w:rPr>
        <w:t>学期以及第</w:t>
      </w:r>
      <w:r w:rsidRPr="000723EC">
        <w:rPr>
          <w:rFonts w:ascii="宋体" w:hAnsi="宋体" w:hint="eastAsia"/>
          <w:sz w:val="24"/>
        </w:rPr>
        <w:t>6</w:t>
      </w:r>
      <w:r w:rsidRPr="000723EC">
        <w:rPr>
          <w:rFonts w:ascii="宋体" w:hAnsi="宋体" w:hint="eastAsia"/>
          <w:sz w:val="24"/>
        </w:rPr>
        <w:t>学期。认知实习指学生由职业学校组织到实习单位参观、观摩和体验，形成对实习单位和相关岗位的初步认识的活动。岗位实习指具备一定实践岗位工作能力的学生，在专业人员指导下，辅助或相对独立参与实际工作的活动。实习环节既要重视学生的劳动知识和技能学习，又要结合专业特点和定位，融入劳动精神、劳模精神、工匠精神相关内容。</w:t>
      </w:r>
    </w:p>
    <w:p w14:paraId="1BA6E8EB" w14:textId="77777777" w:rsidR="00BE5957" w:rsidRPr="000723EC" w:rsidRDefault="00BE5957" w:rsidP="00BE5957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0723EC">
        <w:rPr>
          <w:rFonts w:ascii="宋体" w:hAnsi="宋体" w:hint="eastAsia"/>
          <w:sz w:val="24"/>
        </w:rPr>
        <w:t>学生实习的本质是教学活动，是实践教学的重要环节。组织开展学生实习应当坚持立德树人、德技并修，遵循学生成长规律和职业能力形成规律，理论与实践相结合，提升学生技能水平，锤炼学生意志品质，服务学生全面发展；科学组织，依法依规实施，切实保护学生合法权益，促进学生高质量就业。</w:t>
      </w:r>
    </w:p>
    <w:p w14:paraId="6D4241AE" w14:textId="77777777" w:rsidR="00BE5957" w:rsidRPr="007A13BD" w:rsidRDefault="00BE5957" w:rsidP="00BE5957">
      <w:pPr>
        <w:pStyle w:val="3"/>
        <w:spacing w:before="0" w:after="0" w:line="360" w:lineRule="auto"/>
        <w:ind w:firstLineChars="196" w:firstLine="551"/>
        <w:rPr>
          <w:rFonts w:ascii="宋体" w:hAnsi="宋体"/>
          <w:sz w:val="28"/>
        </w:rPr>
      </w:pPr>
      <w:bookmarkStart w:id="16" w:name="_Toc110097041"/>
      <w:r w:rsidRPr="007A13BD">
        <w:rPr>
          <w:rFonts w:ascii="宋体" w:hAnsi="宋体" w:hint="eastAsia"/>
          <w:sz w:val="28"/>
        </w:rPr>
        <w:t>十</w:t>
      </w:r>
      <w:r>
        <w:rPr>
          <w:rFonts w:ascii="宋体" w:hAnsi="宋体" w:hint="eastAsia"/>
          <w:sz w:val="28"/>
        </w:rPr>
        <w:t>一</w:t>
      </w:r>
      <w:r w:rsidRPr="007A13BD">
        <w:rPr>
          <w:rFonts w:ascii="宋体" w:hAnsi="宋体" w:hint="eastAsia"/>
          <w:sz w:val="28"/>
        </w:rPr>
        <w:t>、创新创业教育体系</w:t>
      </w:r>
      <w:bookmarkEnd w:id="16"/>
    </w:p>
    <w:p w14:paraId="21DEA6E6" w14:textId="77777777" w:rsidR="00BE5957" w:rsidRDefault="00BE5957" w:rsidP="00BE5957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0723EC">
        <w:rPr>
          <w:rFonts w:ascii="宋体" w:hAnsi="宋体" w:hint="eastAsia"/>
          <w:sz w:val="24"/>
        </w:rPr>
        <w:t>根据人才培养定位和创新创业教育目标要求，促进专业教育与创新创业教育有机融合，调整专业（群）课程设置，挖掘和充实各类专业（群）课程的创新创业教育资源，将创新创业教育贯穿到每一门课程讲授和活动过程中，在传授专业知识过程中加强创新创业教育。创新创业教育体系由创新创业认知、创新创业进阶和创新创业实践等环节构成。见表</w:t>
      </w:r>
      <w:r w:rsidRPr="000723EC">
        <w:rPr>
          <w:rFonts w:ascii="宋体" w:hAnsi="宋体"/>
          <w:sz w:val="24"/>
        </w:rPr>
        <w:t>6</w:t>
      </w:r>
      <w:r w:rsidRPr="000723EC">
        <w:rPr>
          <w:rFonts w:ascii="宋体" w:hAnsi="宋体" w:hint="eastAsia"/>
          <w:sz w:val="24"/>
        </w:rPr>
        <w:t>。</w:t>
      </w:r>
    </w:p>
    <w:p w14:paraId="75B5949A" w14:textId="77777777" w:rsidR="00BE5957" w:rsidRPr="00BE7E0A" w:rsidRDefault="00BE5957" w:rsidP="00BE5957">
      <w:pPr>
        <w:spacing w:line="360" w:lineRule="auto"/>
        <w:jc w:val="center"/>
        <w:rPr>
          <w:rFonts w:ascii="黑体" w:eastAsia="黑体" w:hAnsi="黑体"/>
          <w:sz w:val="21"/>
          <w:szCs w:val="24"/>
        </w:rPr>
      </w:pPr>
      <w:r w:rsidRPr="00BE7E0A">
        <w:rPr>
          <w:rFonts w:ascii="黑体" w:eastAsia="黑体" w:hAnsi="黑体" w:hint="eastAsia"/>
          <w:sz w:val="21"/>
          <w:szCs w:val="24"/>
        </w:rPr>
        <w:t>表6 创新创业教育培养体系一览表</w:t>
      </w:r>
    </w:p>
    <w:p w14:paraId="5212C9FC" w14:textId="77777777" w:rsidR="00BE5957" w:rsidRPr="00BE7E0A" w:rsidRDefault="00BE5957" w:rsidP="00BE5957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35DBB412" w14:textId="77777777" w:rsidR="00BE5957" w:rsidRPr="003D6FF1" w:rsidRDefault="00BE5957" w:rsidP="00BE5957">
      <w:pPr>
        <w:spacing w:line="360" w:lineRule="auto"/>
        <w:rPr>
          <w:rFonts w:ascii="宋体" w:hAnsi="宋体"/>
          <w:sz w:val="24"/>
          <w:highlight w:val="yellow"/>
        </w:rPr>
      </w:pPr>
      <w:r w:rsidRPr="003F196F">
        <w:rPr>
          <w:noProof/>
        </w:rPr>
        <w:drawing>
          <wp:inline distT="0" distB="0" distL="0" distR="0" wp14:anchorId="3A9C72BD" wp14:editId="1EEA9993">
            <wp:extent cx="5276850" cy="41751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17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7E31E" w14:textId="77777777" w:rsidR="00BE5957" w:rsidRPr="00BE7E0A" w:rsidRDefault="00BE5957" w:rsidP="00BE5957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BE7E0A">
        <w:rPr>
          <w:rFonts w:ascii="宋体" w:hAnsi="宋体" w:hint="eastAsia"/>
          <w:sz w:val="24"/>
        </w:rPr>
        <w:t>（一）创新创业认知课程</w:t>
      </w:r>
    </w:p>
    <w:p w14:paraId="05F0C1CE" w14:textId="77777777" w:rsidR="00BE5957" w:rsidRPr="00BE7E0A" w:rsidRDefault="00BE5957" w:rsidP="00BE5957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BE7E0A">
        <w:rPr>
          <w:rFonts w:ascii="宋体" w:hAnsi="宋体" w:hint="eastAsia"/>
          <w:sz w:val="24"/>
        </w:rPr>
        <w:t>面向全体学生开设创新思维与创造力开发（</w:t>
      </w:r>
      <w:r w:rsidRPr="00BE7E0A">
        <w:rPr>
          <w:rFonts w:ascii="宋体" w:hAnsi="宋体"/>
          <w:sz w:val="24"/>
        </w:rPr>
        <w:t>1</w:t>
      </w:r>
      <w:r w:rsidRPr="00BE7E0A">
        <w:rPr>
          <w:rFonts w:ascii="宋体" w:hAnsi="宋体" w:hint="eastAsia"/>
          <w:sz w:val="24"/>
        </w:rPr>
        <w:t>学分）、创业基础与实务（</w:t>
      </w:r>
      <w:r w:rsidRPr="00BE7E0A">
        <w:rPr>
          <w:rFonts w:ascii="宋体" w:hAnsi="宋体"/>
          <w:sz w:val="24"/>
        </w:rPr>
        <w:t>1</w:t>
      </w:r>
      <w:r w:rsidRPr="00BE7E0A">
        <w:rPr>
          <w:rFonts w:ascii="宋体" w:hAnsi="宋体" w:hint="eastAsia"/>
          <w:sz w:val="24"/>
        </w:rPr>
        <w:t>学分），该课程以项目化方式进行。</w:t>
      </w:r>
    </w:p>
    <w:p w14:paraId="0047AF64" w14:textId="77777777" w:rsidR="00BE5957" w:rsidRPr="00BE7E0A" w:rsidRDefault="00BE5957" w:rsidP="00BE5957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BE7E0A">
        <w:rPr>
          <w:rFonts w:ascii="宋体" w:hAnsi="宋体" w:hint="eastAsia"/>
          <w:sz w:val="24"/>
        </w:rPr>
        <w:t>（二）创新创业进阶课程</w:t>
      </w:r>
    </w:p>
    <w:p w14:paraId="5920419B" w14:textId="77777777" w:rsidR="00BE5957" w:rsidRPr="00BE7E0A" w:rsidRDefault="00BE5957" w:rsidP="00BE5957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BE7E0A">
        <w:rPr>
          <w:rFonts w:ascii="宋体" w:hAnsi="宋体" w:hint="eastAsia"/>
          <w:sz w:val="24"/>
        </w:rPr>
        <w:t>建立由专业基础课、专业核心课、公共限选课、公共任选课、专业模块任选课和第二课堂等构成的创新创业进阶课程，形成依次递进、有机衔接、科学合理的创新创业教育专门课程群。公共限选课程开设商务谈判与礼仪、中华商文化概论、人工智能基础等课程，公共任选课程开设创业实战（一</w:t>
      </w:r>
      <w:r w:rsidRPr="00BE7E0A">
        <w:rPr>
          <w:rFonts w:ascii="宋体" w:hAnsi="宋体"/>
          <w:sz w:val="24"/>
        </w:rPr>
        <w:t>）</w:t>
      </w:r>
      <w:r w:rsidRPr="00BE7E0A">
        <w:rPr>
          <w:rFonts w:ascii="宋体" w:hAnsi="宋体" w:hint="eastAsia"/>
          <w:sz w:val="24"/>
        </w:rPr>
        <w:t>、创业实战（二）等课程，专业核心课程和专业模块任选课程结合实际自行设定专创融合课程。</w:t>
      </w:r>
    </w:p>
    <w:p w14:paraId="4581AC94" w14:textId="77777777" w:rsidR="00BE5957" w:rsidRPr="00BE7E0A" w:rsidRDefault="00BE5957" w:rsidP="00BE5957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BE7E0A">
        <w:rPr>
          <w:rFonts w:ascii="宋体" w:hAnsi="宋体" w:hint="eastAsia"/>
          <w:sz w:val="24"/>
        </w:rPr>
        <w:t>创新创业第二课堂内容包括：创新创业就业类、社会服务类、论文专利与调研报告类、其它类活动（指各专业（群）根据实际自行设计的其它创新创业创意实践活动）。创新创业活动采取学点计算办法，其中项目可选，学点必选，学点由二级学院负责认定，原则上不低于</w:t>
      </w:r>
      <w:r w:rsidRPr="00BE7E0A">
        <w:rPr>
          <w:rFonts w:ascii="宋体" w:hAnsi="宋体" w:hint="eastAsia"/>
          <w:sz w:val="24"/>
        </w:rPr>
        <w:t>20</w:t>
      </w:r>
      <w:r w:rsidRPr="00BE7E0A">
        <w:rPr>
          <w:rFonts w:ascii="宋体" w:hAnsi="宋体" w:hint="eastAsia"/>
          <w:sz w:val="24"/>
        </w:rPr>
        <w:t>学点。</w:t>
      </w:r>
    </w:p>
    <w:p w14:paraId="1AC686C1" w14:textId="77777777" w:rsidR="00BE5957" w:rsidRPr="00BE7E0A" w:rsidRDefault="00BE5957" w:rsidP="00BE5957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BE7E0A">
        <w:rPr>
          <w:rFonts w:ascii="宋体" w:hAnsi="宋体" w:hint="eastAsia"/>
          <w:sz w:val="24"/>
        </w:rPr>
        <w:t>（三）创新创业实践</w:t>
      </w:r>
    </w:p>
    <w:p w14:paraId="4D2C5D8C" w14:textId="77777777" w:rsidR="00BE5957" w:rsidRPr="00BE7E0A" w:rsidRDefault="00BE5957" w:rsidP="00BE5957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BE7E0A">
        <w:rPr>
          <w:rFonts w:ascii="宋体" w:hAnsi="宋体" w:hint="eastAsia"/>
          <w:sz w:val="24"/>
        </w:rPr>
        <w:lastRenderedPageBreak/>
        <w:t>创新创业实践安排在第</w:t>
      </w:r>
      <w:r w:rsidRPr="00BE7E0A">
        <w:rPr>
          <w:rFonts w:ascii="宋体" w:hAnsi="宋体" w:hint="eastAsia"/>
          <w:sz w:val="24"/>
        </w:rPr>
        <w:t>3</w:t>
      </w:r>
      <w:r w:rsidRPr="00BE7E0A">
        <w:rPr>
          <w:rFonts w:ascii="宋体" w:hAnsi="宋体" w:hint="eastAsia"/>
          <w:sz w:val="24"/>
        </w:rPr>
        <w:t>学年，以岗位实习或实际项目运营（</w:t>
      </w:r>
      <w:r w:rsidRPr="00BE7E0A">
        <w:rPr>
          <w:rFonts w:ascii="宋体" w:hAnsi="宋体"/>
          <w:sz w:val="24"/>
        </w:rPr>
        <w:t>13</w:t>
      </w:r>
      <w:r w:rsidRPr="00BE7E0A">
        <w:rPr>
          <w:rFonts w:ascii="宋体" w:hAnsi="宋体" w:hint="eastAsia"/>
          <w:sz w:val="24"/>
        </w:rPr>
        <w:t>学分）的形式开展。创新创业实践注重个性化培养，培育创新创业型技术技能人才。</w:t>
      </w:r>
    </w:p>
    <w:p w14:paraId="3A0DAFFB" w14:textId="77777777" w:rsidR="00BE5957" w:rsidRPr="00BE7E0A" w:rsidRDefault="00BE5957" w:rsidP="00BE5957">
      <w:pPr>
        <w:pStyle w:val="3"/>
        <w:spacing w:before="0" w:after="0" w:line="360" w:lineRule="auto"/>
        <w:ind w:firstLineChars="196" w:firstLine="551"/>
        <w:rPr>
          <w:rFonts w:ascii="宋体" w:hAnsi="宋体"/>
          <w:sz w:val="28"/>
        </w:rPr>
      </w:pPr>
      <w:bookmarkStart w:id="17" w:name="_Toc110097042"/>
      <w:r w:rsidRPr="00BE7E0A">
        <w:rPr>
          <w:rFonts w:ascii="宋体" w:hAnsi="宋体" w:hint="eastAsia"/>
          <w:sz w:val="28"/>
        </w:rPr>
        <w:t>十二、素质教育体系</w:t>
      </w:r>
      <w:bookmarkEnd w:id="17"/>
    </w:p>
    <w:p w14:paraId="242D2FCA" w14:textId="795CB1D2" w:rsidR="00482136" w:rsidRDefault="00BE5957" w:rsidP="00482136">
      <w:pPr>
        <w:rPr>
          <w:rFonts w:ascii="仿宋_GB2312" w:hAnsi="宋体"/>
          <w:bCs/>
          <w:sz w:val="24"/>
          <w:szCs w:val="24"/>
        </w:rPr>
      </w:pPr>
      <w:r w:rsidRPr="00BE7E0A">
        <w:rPr>
          <w:rFonts w:ascii="仿宋_GB2312" w:hAnsi="宋体" w:hint="eastAsia"/>
          <w:bCs/>
          <w:sz w:val="24"/>
          <w:szCs w:val="24"/>
        </w:rPr>
        <w:t>结合团中央《第二课堂成绩单》制度，设立综合素质学点测评体系，包括思想成长、实践实习、志愿公益、创新创业、文体活动、工作履历、技能特长等7个方面，下设相应子项目，采取学点计算办法。培养环节主要包括理论、实践、检查等形式，依托“到梦空间”APP记载、汇总、评价学生综合素质情况。综合素质教育成绩不低于60学点，具体由团委负责组织实施。</w:t>
      </w:r>
    </w:p>
    <w:p w14:paraId="741EB8E7" w14:textId="59A85A3F" w:rsidR="00482136" w:rsidRDefault="00482136" w:rsidP="00482136">
      <w:pPr>
        <w:rPr>
          <w:rFonts w:ascii="仿宋_GB2312" w:hAnsi="宋体"/>
          <w:bCs/>
          <w:sz w:val="24"/>
          <w:szCs w:val="24"/>
        </w:rPr>
      </w:pPr>
    </w:p>
    <w:p w14:paraId="2A9B051F" w14:textId="18202EC3" w:rsidR="00482136" w:rsidRDefault="00482136" w:rsidP="00482136">
      <w:pPr>
        <w:rPr>
          <w:rFonts w:ascii="仿宋_GB2312" w:hAnsi="宋体"/>
          <w:bCs/>
          <w:sz w:val="24"/>
          <w:szCs w:val="24"/>
        </w:rPr>
      </w:pPr>
    </w:p>
    <w:p w14:paraId="25AEA0AB" w14:textId="25FC33D7" w:rsidR="00482136" w:rsidRDefault="00482136" w:rsidP="00482136">
      <w:pPr>
        <w:pStyle w:val="a7"/>
        <w:numPr>
          <w:ilvl w:val="0"/>
          <w:numId w:val="3"/>
        </w:numPr>
        <w:ind w:firstLineChars="0"/>
        <w:rPr>
          <w:rFonts w:ascii="仿宋_GB2312" w:hAnsi="宋体"/>
          <w:bCs/>
          <w:sz w:val="24"/>
          <w:szCs w:val="24"/>
        </w:rPr>
      </w:pPr>
      <w:r>
        <w:rPr>
          <w:rFonts w:ascii="仿宋_GB2312" w:hAnsi="宋体" w:hint="eastAsia"/>
          <w:bCs/>
          <w:sz w:val="24"/>
          <w:szCs w:val="24"/>
        </w:rPr>
        <w:t>防止因为没有</w:t>
      </w:r>
      <w:r w:rsidRPr="00482136">
        <w:rPr>
          <w:rFonts w:ascii="仿宋_GB2312" w:hAnsi="宋体"/>
          <w:bCs/>
          <w:sz w:val="24"/>
          <w:szCs w:val="24"/>
        </w:rPr>
        <w:t>_numbering_part</w:t>
      </w:r>
      <w:r>
        <w:rPr>
          <w:rFonts w:ascii="仿宋_GB2312" w:hAnsi="宋体" w:hint="eastAsia"/>
          <w:bCs/>
          <w:sz w:val="24"/>
          <w:szCs w:val="24"/>
        </w:rPr>
        <w:t>而报错</w:t>
      </w:r>
    </w:p>
    <w:p w14:paraId="575D7F05" w14:textId="1CCFE22C" w:rsidR="00482136" w:rsidRPr="00482136" w:rsidRDefault="00482136" w:rsidP="00482136">
      <w:pPr>
        <w:pStyle w:val="a7"/>
        <w:numPr>
          <w:ilvl w:val="0"/>
          <w:numId w:val="3"/>
        </w:numPr>
        <w:ind w:firstLineChars="0"/>
        <w:rPr>
          <w:rFonts w:ascii="仿宋_GB2312" w:hAnsi="宋体" w:hint="eastAsia"/>
          <w:bCs/>
          <w:sz w:val="24"/>
          <w:szCs w:val="24"/>
        </w:rPr>
      </w:pPr>
      <w:r>
        <w:rPr>
          <w:rFonts w:ascii="仿宋_GB2312" w:hAnsi="宋体" w:hint="eastAsia"/>
          <w:bCs/>
          <w:sz w:val="24"/>
          <w:szCs w:val="24"/>
        </w:rPr>
        <w:t>防止因为没有</w:t>
      </w:r>
      <w:r w:rsidRPr="00482136">
        <w:rPr>
          <w:rFonts w:ascii="仿宋_GB2312" w:hAnsi="宋体"/>
          <w:bCs/>
          <w:sz w:val="24"/>
          <w:szCs w:val="24"/>
        </w:rPr>
        <w:t>_numbering_part</w:t>
      </w:r>
      <w:r>
        <w:rPr>
          <w:rFonts w:ascii="仿宋_GB2312" w:hAnsi="宋体" w:hint="eastAsia"/>
          <w:bCs/>
          <w:sz w:val="24"/>
          <w:szCs w:val="24"/>
        </w:rPr>
        <w:t>而报错</w:t>
      </w:r>
    </w:p>
    <w:sectPr w:rsidR="00482136" w:rsidRPr="004821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55712" w14:textId="77777777" w:rsidR="00D42574" w:rsidRDefault="00D42574" w:rsidP="00BE5957">
      <w:r>
        <w:separator/>
      </w:r>
    </w:p>
  </w:endnote>
  <w:endnote w:type="continuationSeparator" w:id="0">
    <w:p w14:paraId="6EB15C69" w14:textId="77777777" w:rsidR="00D42574" w:rsidRDefault="00D42574" w:rsidP="00BE5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B3B6E" w14:textId="77777777" w:rsidR="00D42574" w:rsidRDefault="00D42574" w:rsidP="00BE5957">
      <w:r>
        <w:separator/>
      </w:r>
    </w:p>
  </w:footnote>
  <w:footnote w:type="continuationSeparator" w:id="0">
    <w:p w14:paraId="37D629DC" w14:textId="77777777" w:rsidR="00D42574" w:rsidRDefault="00D42574" w:rsidP="00BE59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A6B61"/>
    <w:multiLevelType w:val="hybridMultilevel"/>
    <w:tmpl w:val="6C02E15C"/>
    <w:lvl w:ilvl="0" w:tplc="67CA1614">
      <w:start w:val="1"/>
      <w:numFmt w:val="decimal"/>
      <w:lvlText w:val="%1."/>
      <w:lvlJc w:val="left"/>
      <w:pPr>
        <w:ind w:left="360" w:hanging="360"/>
      </w:pPr>
      <w:rPr>
        <w:rFonts w:ascii="仿宋_GB2312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DC7CE3"/>
    <w:multiLevelType w:val="hybridMultilevel"/>
    <w:tmpl w:val="AF062C80"/>
    <w:lvl w:ilvl="0" w:tplc="170C7A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1A7E04"/>
    <w:multiLevelType w:val="hybridMultilevel"/>
    <w:tmpl w:val="5A7CA0CE"/>
    <w:lvl w:ilvl="0" w:tplc="95F8F4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72588957">
    <w:abstractNumId w:val="0"/>
  </w:num>
  <w:num w:numId="2" w16cid:durableId="93792271">
    <w:abstractNumId w:val="1"/>
  </w:num>
  <w:num w:numId="3" w16cid:durableId="2186320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4E4"/>
    <w:rsid w:val="000E7427"/>
    <w:rsid w:val="00482136"/>
    <w:rsid w:val="007B24E4"/>
    <w:rsid w:val="008E0BAC"/>
    <w:rsid w:val="00BE5957"/>
    <w:rsid w:val="00D4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A5B6EC"/>
  <w15:chartTrackingRefBased/>
  <w15:docId w15:val="{F02FB07B-F68E-4D41-8A4C-F8D554BEF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5957"/>
    <w:pPr>
      <w:widowControl w:val="0"/>
      <w:jc w:val="both"/>
    </w:pPr>
    <w:rPr>
      <w:rFonts w:ascii="Times New Roman" w:eastAsia="仿宋_GB2312" w:hAnsi="Times New Roman" w:cs="Times New Roman"/>
      <w:sz w:val="32"/>
      <w:szCs w:val="32"/>
    </w:rPr>
  </w:style>
  <w:style w:type="paragraph" w:styleId="3">
    <w:name w:val="heading 3"/>
    <w:basedOn w:val="a"/>
    <w:next w:val="a"/>
    <w:link w:val="30"/>
    <w:qFormat/>
    <w:rsid w:val="00BE5957"/>
    <w:pPr>
      <w:keepNext/>
      <w:keepLines/>
      <w:spacing w:before="260" w:after="260" w:line="416" w:lineRule="auto"/>
      <w:outlineLvl w:val="2"/>
    </w:pPr>
    <w:rPr>
      <w:rFonts w:eastAsia="宋体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5957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59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595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5957"/>
    <w:rPr>
      <w:sz w:val="18"/>
      <w:szCs w:val="18"/>
    </w:rPr>
  </w:style>
  <w:style w:type="character" w:customStyle="1" w:styleId="30">
    <w:name w:val="标题 3 字符"/>
    <w:basedOn w:val="a0"/>
    <w:link w:val="3"/>
    <w:qFormat/>
    <w:rsid w:val="00BE5957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paragraph" w:styleId="a7">
    <w:name w:val="List Paragraph"/>
    <w:basedOn w:val="a"/>
    <w:uiPriority w:val="34"/>
    <w:qFormat/>
    <w:rsid w:val="004821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HL</dc:creator>
  <cp:keywords/>
  <dc:description/>
  <cp:lastModifiedBy>Wang HL</cp:lastModifiedBy>
  <cp:revision>3</cp:revision>
  <dcterms:created xsi:type="dcterms:W3CDTF">2023-01-03T02:08:00Z</dcterms:created>
  <dcterms:modified xsi:type="dcterms:W3CDTF">2023-01-03T02:13:00Z</dcterms:modified>
</cp:coreProperties>
</file>