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49"/>
        <w:gridCol w:w="4989"/>
      </w:tblGrid>
      <w:tr>
        <w:tc>
          <w:tcPr>
            <w:tcW w:type="dxa" w:w="4819"/>
            <w:vAlign w:val="top"/>
            <w:tcMar>
              <w:top w:w="0" w:type="dxa"/>
              <w:start w:w="0" w:type="dxa"/>
              <w:bottom w:w="0" w:type="dxa"/>
              <w:end w:w="0" w:type="dxa"/>
            </w:tcMar>
            <w:tcBorders>
              <w:top w:val="nil"/>
              <w:left w:val="nil"/>
              <w:bottom w:val="nil"/>
              <w:right w:val="nil"/>
              <w:insideH w:val="nil"/>
              <w:insideV w:val="nil"/>
            </w:tcBorders>
          </w:tcPr>
          <w:p/>
        </w:tc>
        <w:tc>
          <w:tcPr>
            <w:tcW w:type="dxa" w:w="4819"/>
            <w:vAlign w:val="top"/>
            <w:tcMar>
              <w:top w:w="0" w:type="dxa"/>
              <w:start w:w="0" w:type="dxa"/>
              <w:bottom w:w="0" w:type="dxa"/>
              <w:end w:w="0" w:type="dxa"/>
            </w:tcMar>
            <w:tcBorders>
              <w:top w:val="nil"/>
              <w:left w:val="nil"/>
              <w:bottom w:val="nil"/>
              <w:right w:val="nil"/>
              <w:insideH w:val="nil"/>
              <w:insideV w:val="nil"/>
            </w:tcBorders>
          </w:tcPr>
          <w:p>
            <w:pPr>
              <w:spacing w:after="40" w:line="240" w:lineRule="auto"/>
              <w:jc w:val="left"/>
            </w:pPr>
            <w:r/>
            <w:r>
              <w:rPr>
                <w:rFonts w:ascii="Times New Roman" w:hAnsi="Times New Roman" w:eastAsia="Times New Roman" w:cs="Times New Roman"/>
                <w:b/>
                <w:i w:val="0"/>
                <w:color w:val="000000"/>
                <w:sz w:val="22"/>
              </w:rPr>
              <w:t>В Нагатинский районный суд города Москвы</w:t>
            </w:r>
          </w:p>
          <w:p>
            <w:pPr>
              <w:spacing w:after="40" w:line="240" w:lineRule="auto"/>
              <w:jc w:val="left"/>
            </w:pPr>
            <w:r>
              <w:rPr>
                <w:rFonts w:ascii="Times New Roman" w:hAnsi="Times New Roman" w:eastAsia="Times New Roman" w:cs="Times New Roman"/>
                <w:b/>
                <w:i w:val="0"/>
                <w:color w:val="000000"/>
                <w:sz w:val="22"/>
              </w:rPr>
              <w:t>Дело № 02-5004/2026</w:t>
            </w:r>
          </w:p>
          <w:p>
            <w:pPr>
              <w:spacing w:after="40" w:line="240" w:lineRule="auto"/>
              <w:jc w:val="left"/>
            </w:pPr>
            <w:r>
              <w:rPr>
                <w:rFonts w:ascii="Times New Roman" w:hAnsi="Times New Roman" w:eastAsia="Times New Roman" w:cs="Times New Roman"/>
                <w:b w:val="0"/>
                <w:i w:val="0"/>
                <w:color w:val="000000"/>
                <w:sz w:val="22"/>
              </w:rPr>
            </w:r>
          </w:p>
          <w:p>
            <w:pPr>
              <w:spacing w:after="40" w:line="240" w:lineRule="auto"/>
              <w:jc w:val="left"/>
            </w:pPr>
            <w:r>
              <w:rPr>
                <w:rFonts w:ascii="Times New Roman" w:hAnsi="Times New Roman" w:eastAsia="Times New Roman" w:cs="Times New Roman"/>
                <w:b w:val="0"/>
                <w:i w:val="0"/>
                <w:color w:val="000000"/>
                <w:sz w:val="22"/>
              </w:rPr>
              <w:t>Истец: ООО «ВИГОРАВТО»</w:t>
            </w:r>
          </w:p>
          <w:p>
            <w:pPr>
              <w:spacing w:after="40" w:line="240" w:lineRule="auto"/>
              <w:jc w:val="left"/>
            </w:pPr>
            <w:r>
              <w:rPr>
                <w:rFonts w:ascii="Times New Roman" w:hAnsi="Times New Roman" w:eastAsia="Times New Roman" w:cs="Times New Roman"/>
                <w:b w:val="0"/>
                <w:i w:val="0"/>
                <w:color w:val="000000"/>
                <w:sz w:val="22"/>
              </w:rPr>
            </w:r>
          </w:p>
          <w:p>
            <w:pPr>
              <w:spacing w:after="40" w:line="240" w:lineRule="auto"/>
              <w:jc w:val="left"/>
            </w:pPr>
            <w:r>
              <w:rPr>
                <w:rFonts w:ascii="Times New Roman" w:hAnsi="Times New Roman" w:eastAsia="Times New Roman" w:cs="Times New Roman"/>
                <w:b w:val="0"/>
                <w:i w:val="0"/>
                <w:color w:val="000000"/>
                <w:sz w:val="22"/>
              </w:rPr>
              <w:t>Ответчик: Димитриева Марина Владимировна</w:t>
            </w:r>
          </w:p>
        </w:tc>
      </w:tr>
    </w:tbl>
    <w:p>
      <w:pPr>
        <w:spacing w:after="40"/>
      </w:pPr>
    </w:p>
    <w:p>
      <w:pPr>
        <w:keepNext/>
        <w:spacing w:before="120" w:after="40"/>
        <w:jc w:val="center"/>
      </w:pPr>
      <w:r>
        <w:rPr>
          <w:rFonts w:ascii="Times New Roman" w:hAnsi="Times New Roman" w:eastAsia="Times New Roman" w:cs="Times New Roman"/>
          <w:b/>
          <w:i w:val="0"/>
          <w:color w:val="000000"/>
          <w:sz w:val="28"/>
        </w:rPr>
        <w:t>ПИСЬМЕННЫЕ ВОЗРАЖЕНИЯ ОТВЕТЧИКА</w:t>
      </w:r>
    </w:p>
    <w:p>
      <w:pPr>
        <w:keepNext/>
        <w:spacing w:after="200"/>
        <w:jc w:val="center"/>
      </w:pPr>
      <w:r>
        <w:rPr>
          <w:rFonts w:ascii="Times New Roman" w:hAnsi="Times New Roman" w:eastAsia="Times New Roman" w:cs="Times New Roman"/>
          <w:b w:val="0"/>
          <w:i/>
          <w:color w:val="000000"/>
          <w:sz w:val="24"/>
        </w:rPr>
        <w:t>на иск о возмещении ущерба, причинённого дорожно-транспортным происшествием</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Ответчик не оспаривает сам факт дорожно-транспортного происшествия 29 октября 2023 г. и то, что в электронном извещении о ДТП было указано повреждение крышки багажника автомобиля Volkswagen Polo, государственный регистрационный знак М331ЕН797. Ответчик оспаривает причинную связь между этим ДТП и всеми повреждениями, включёнными в последующий акт осмотра и расчёт, необходимость замены отдельных деталей, размер заявленного ущерба, а также начисление процентов со дня ДТП.</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Истец просит взыскать 170 390 руб. 87 коп. ущерба, рассчитанного как стоимость восстановительного ремонта без учёта износа 227 490 руб. 87 коп. за вычетом 57 100 руб., выплаченных по договору КАСКО; проценты по статье 395 ГК РФ в размере 82 547 руб. 39 коп. за период с 29 октября 2023 г. по 10 августа 2026 г. с дальнейшим начислением; 50 000 руб. расходов на представителя; 25 000 руб. расходов на заключение; 8 588 руб. государственной пошлины и 520 руб. почтовых расходов.</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По правилам статей 15, 1064 и 1072 ГК РФ истец должен доказать состав и размер реального ущерба, причинную связь каждого заявленного повреждения с данным ДТП, необходимость выбранного способа ремонта, а также размер той части вреда, которая не покрывается обязательным страхованием. В силу статей 56 и 67 ГПК РФ ни один из представленных документов не имеет заранее установленной силы и подлежит оценке вместе с другими доказательствами.</w:t>
      </w:r>
    </w:p>
    <w:p>
      <w:pPr>
        <w:pStyle w:val="Heading1"/>
        <w:keepNext/>
        <w:keepLines/>
        <w:spacing w:before="180" w:after="80"/>
        <w:jc w:val="left"/>
      </w:pPr>
      <w:r>
        <w:rPr>
          <w:rFonts w:ascii="Times New Roman" w:hAnsi="Times New Roman" w:eastAsia="Times New Roman" w:cs="Times New Roman"/>
          <w:b/>
          <w:i w:val="0"/>
          <w:color w:val="000000"/>
          <w:sz w:val="25"/>
        </w:rPr>
        <w:t>1. Документы по ДТП не подтверждают весь заявленный объём повреждений</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электронном извещении о ДТП от 29 октября 2023 г., составленном непосредственно после столкновения и подписанном обоими водителями, в разделе о повреждениях автомобиля Volkswagen Polo указана только крышка багажника. Иные наружные, внутренние и подбамперные детали в извещении не перечислены.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уже зафиксированы десять позиций. Само по себе более позднее выявление скрытого повреждения возможно и ответчиком не исключается. Однако разница между двумя документами требует доказательств того, что каждая дополнительная позиция возникла именно в столкновении 29 октября 2023 г. Для этого имеют значение первичные фотографии, условия и методика осмотра, наличие разборки, описание характера и расположения деформаций, а также их техническая совместимость с механизмом ДТП.</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представленном ответчику комплекте материалов нет последовательной фотофиксации осмотра 30 октября 2023 г. и дефектовки со снятием облицовок, которая позволила бы сопоставить каждую из десяти позиций с электронным извещением и фотографиями автомобиля после ДТП. Имеющиеся фотографии показывают общий вид задней части автомобиля, но не позволяют исследовать состояние всех деталей, указанных в акте и расчёте. Поэтому они не заменяют технического исследования причинной связи.</w:t>
      </w:r>
    </w:p>
    <w:p>
      <w:pPr>
        <w:pStyle w:val="Heading1"/>
        <w:keepNext/>
        <w:keepLines/>
        <w:spacing w:before="180" w:after="80"/>
        <w:jc w:val="left"/>
      </w:pPr>
      <w:r>
        <w:rPr>
          <w:rFonts w:ascii="Times New Roman" w:hAnsi="Times New Roman" w:eastAsia="Times New Roman" w:cs="Times New Roman"/>
          <w:b/>
          <w:i w:val="0"/>
          <w:color w:val="000000"/>
          <w:sz w:val="25"/>
        </w:rPr>
        <w:t>2. Необходимость замены крышки багажника не обоснована</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напротив крышки багажника сделана краткая отметка «деф. 21К». В акте не раскрыто значение этой отметки, не приведены размеры, глубина и расположение деформации, не указано наличие разрывов или повреждения силовых элементов, не объяснено, почему деталь нельзя восстановить ремонтом.</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Между тем в расчёте, приложенном к заключению № М331ЕН797 от 7 августа 2026 г., включена новая крышка багажника с каталожным номером 6RU827025F стоимостью 133 112 руб., а также работы по её замене, снятию, установке и окраске. Именно эта позиция составляет основную часть заявленной стоимости ремонта. Вывод о необходимости замены должен опираться на конкретные признаки неремонтопригодности детали, а не только на сокращённую отметку в акте.</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Заключение № М331ЕН797 отвечает на вопросы о стоимости ремонта по предоставленному акту осмотра. Из его выводов не следует, что специалист самостоятельно осматривал автомобиль, исследовал исходные фотографии и устанавливал происхождение каждого повреждения. Поэтому указанное заключение подтверждает расчёт стоимости при принятых исходных данных, но само по себе не устраняет спор о причинной связи и выборе замены вместо ремонта.</w:t>
      </w:r>
    </w:p>
    <w:p>
      <w:pPr>
        <w:pStyle w:val="Heading1"/>
        <w:keepNext/>
        <w:keepLines/>
        <w:spacing w:before="180" w:after="80"/>
        <w:jc w:val="left"/>
      </w:pPr>
      <w:r>
        <w:rPr>
          <w:rFonts w:ascii="Times New Roman" w:hAnsi="Times New Roman" w:eastAsia="Times New Roman" w:cs="Times New Roman"/>
          <w:b/>
          <w:i w:val="0"/>
          <w:color w:val="000000"/>
          <w:sz w:val="25"/>
        </w:rPr>
        <w:t>3. Акт осмотра и расчёт содержат конкретное несоответствие</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акте осмотра транспортного средства от 30 октября 2023 г. указано: «обшивка замка крышки багажника — задиры». В расчёте восстановительного ремонта включена замена механизма замка крышки багажника с каталожным номером 6RU827505C стоимостью 8 760 руб. 67 коп., а также связанные с ним работы. Обшивка замка и механизм замка являются различными деталями. Повреждение обшивки в виде задиров не подтверждает неисправность механизма и необходимость его замены.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Это несоответствие нельзя устранить предположением. Истец должен представить фотографию или дефектовочный документ, где зафиксировано повреждение именно механизма замка, либо техническое объяснение, почему повреждение обшивки потребовало его замены. При отсутствии такого доказательства стоимость механизма замка и соответствующих работ не относится к доказанному ущербу.</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Кроме того, в представленном ответчику комплекте имеется только часть расчётных материалов. Для проверки расчёта необходимы полный текст приложения к заключению № М331ЕН797, исходный акт, фотографии и иные материалы, переданные специалисту, а также сведения об источниках цен и нормативах работ. Ответчик не заявляет об арифметической ошибке без полного расчёта, но указывает, что неполный комплект не позволяет проверить исходные данные и состав операций.</w:t>
      </w:r>
    </w:p>
    <w:p>
      <w:pPr>
        <w:pStyle w:val="Heading1"/>
        <w:keepNext/>
        <w:keepLines/>
        <w:spacing w:before="180" w:after="80"/>
        <w:jc w:val="left"/>
      </w:pPr>
      <w:r>
        <w:rPr>
          <w:rFonts w:ascii="Times New Roman" w:hAnsi="Times New Roman" w:eastAsia="Times New Roman" w:cs="Times New Roman"/>
          <w:b/>
          <w:i w:val="0"/>
          <w:color w:val="000000"/>
          <w:sz w:val="25"/>
        </w:rPr>
        <w:t>4. Размер ответственности нельзя определить без материалов по ОСАГО и КАСКО</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В электронном извещении о ДТП от 29 октября 2023 г. указан полис ОСАГО ответчика серии ТТТ № 7043868396. По статье 1072 ГК РФ лицо, застраховавшее свою ответственность, возмещает только разницу между страховым возмещением и фактическим размером ущерба, если страховой выплаты недостаточно. Следовательно, до определения личной ответственности ответчика необходимо установить, обращался ли потерпевший к страховщику по ОСАГО, какое решение принято, какая сумма подлежала выплате и соблюдён ли обязательный досудебный порядок.</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Пункт 114 постановления Пленума Верховного Суда Российской Федерации от 8 ноября 2022 г. № 31 связывает процессуальное положение страховщика и порядок рассмотрения требования к причинителю вреда с тем, обращался ли потерпевший за страховым возмещением и выполнил ли предусмотренные законом досудебные действия. Эти обстоятельства в иске не раскрыты, а подтверждающие документы ответчику не представлены.</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Отдельно из заявления на выплату страхового возмещения по договору КАСКО № 65/22-04(7)-000217 от 8 ноября 2023 г. и платёжного поручения № 065/23-04-001505/01/07 от 20 ноября 2023 г. следует оформление выплаты 57 100 руб. Для проверки того, какая часть требования сохранилась у истца, необходимы страховой акт от 11 ноября 2023 г., соглашение от 20 ноября 2023 г., документы о фактическом перечислении денег и сведения о переходе права требования к страховщику. Эти документы также важны для исключения повторного возмещения одного и того же вреда.</w:t>
      </w:r>
    </w:p>
    <w:p>
      <w:pPr>
        <w:pStyle w:val="Heading1"/>
        <w:keepNext/>
        <w:keepLines/>
        <w:spacing w:before="180" w:after="80"/>
        <w:jc w:val="left"/>
      </w:pPr>
      <w:r>
        <w:rPr>
          <w:rFonts w:ascii="Times New Roman" w:hAnsi="Times New Roman" w:eastAsia="Times New Roman" w:cs="Times New Roman"/>
          <w:b/>
          <w:i w:val="0"/>
          <w:color w:val="000000"/>
          <w:sz w:val="25"/>
        </w:rPr>
        <w:t>5. Проценты со дня ДТП начислены без правового основания</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Истец начислил проценты по статье 395 ГК РФ с 29 октября 2023 г., то есть со дня ДТП. Однако до определения судом размера возмещения у ответчика отсутствовало денежное обязательство в заявленной истцом сумме и не наступила просрочка его исполнения.</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Согласно пункту 57 постановления Пленума Верховного Суда Российской Федерации от 24 марта 2016 г. № 7 проценты за пользование чужими денежными средствами по обязательству из причинения вреда начисляются со дня вступления в законную силу решения суда, которым определена обязанность возместить вред, если иной момент не установлен законом. Поэтому требование о процентах за период до вступления решения в законную силу удовлетворению не подлежит.</w:t>
      </w:r>
    </w:p>
    <w:p>
      <w:pPr>
        <w:pStyle w:val="Heading1"/>
        <w:keepNext/>
        <w:keepLines/>
        <w:spacing w:before="180" w:after="80"/>
        <w:jc w:val="left"/>
      </w:pPr>
      <w:r>
        <w:rPr>
          <w:rFonts w:ascii="Times New Roman" w:hAnsi="Times New Roman" w:eastAsia="Times New Roman" w:cs="Times New Roman"/>
          <w:b/>
          <w:i w:val="0"/>
          <w:color w:val="000000"/>
          <w:sz w:val="25"/>
        </w:rPr>
        <w:t>6. Судебные расходы подлежат проверке и соразмерному распределению</w:t>
      </w:r>
    </w:p>
    <w:p>
      <w:pPr>
        <w:keepLines w:val="0"/>
        <w:widowControl/>
        <w:spacing w:line="276" w:lineRule="auto" w:after="80" w:before="0"/>
        <w:ind w:firstLine="709"/>
        <w:jc w:val="both"/>
      </w:pPr>
      <w:r>
        <w:rPr>
          <w:rFonts w:ascii="Times New Roman" w:hAnsi="Times New Roman" w:eastAsia="Times New Roman" w:cs="Times New Roman"/>
          <w:b w:val="0"/>
          <w:i w:val="0"/>
          <w:color w:val="000000"/>
          <w:sz w:val="24"/>
        </w:rPr>
        <w:t>Расходы на заключение могут быть взысканы только при подтверждении их оплаты, связи с рассмотрением дела и необходимости для защиты нарушенного права. Расходы на представителя возмещаются в разумных пределах с учётом сложности дела, объёма выполненной работы и результата рассмотрения спора. Почтовые расходы также должны подтверждаться документами, позволяющими установить отправителя, адресата и содержание отправления. При частичном удовлетворении иска расходы распределяются пропорционально удовлетворённым требованиям по правилам статей 98 и 100 ГПК РФ.</w:t>
      </w:r>
    </w:p>
    <w:p>
      <w:pPr>
        <w:pStyle w:val="Heading1"/>
        <w:keepNext/>
        <w:keepLines/>
        <w:spacing w:before="180" w:after="80"/>
        <w:jc w:val="left"/>
      </w:pPr>
      <w:r>
        <w:rPr>
          <w:rFonts w:ascii="Times New Roman" w:hAnsi="Times New Roman" w:eastAsia="Times New Roman" w:cs="Times New Roman"/>
          <w:b/>
          <w:i w:val="0"/>
          <w:color w:val="000000"/>
          <w:sz w:val="25"/>
        </w:rPr>
        <w:t>Просительная часть</w:t>
      </w:r>
    </w:p>
    <w:p>
      <w:pPr>
        <w:keepLines w:val="0"/>
        <w:widowControl/>
        <w:spacing w:line="276" w:lineRule="auto" w:after="100" w:before="0"/>
        <w:jc w:val="both"/>
      </w:pPr>
      <w:r>
        <w:rPr>
          <w:rFonts w:ascii="Times New Roman" w:hAnsi="Times New Roman" w:eastAsia="Times New Roman" w:cs="Times New Roman"/>
          <w:b w:val="0"/>
          <w:i w:val="0"/>
          <w:color w:val="000000"/>
          <w:sz w:val="24"/>
        </w:rPr>
        <w:t>На основании изложенного, руководствуясь статьями 15, 395, 1064 и 1072 ГК РФ, статьями 56, 67, 79, 98 и 100 ГПК РФ, прошу суд:</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1. </w:t>
      </w:r>
      <w:r>
        <w:rPr>
          <w:rFonts w:ascii="Times New Roman" w:hAnsi="Times New Roman" w:eastAsia="Times New Roman" w:cs="Times New Roman"/>
          <w:b w:val="0"/>
          <w:i w:val="0"/>
          <w:color w:val="000000"/>
          <w:sz w:val="24"/>
        </w:rPr>
        <w:t>Приобщить настоящие письменные возражения к материалам дела.</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2. </w:t>
      </w:r>
      <w:r>
        <w:rPr>
          <w:rFonts w:ascii="Times New Roman" w:hAnsi="Times New Roman" w:eastAsia="Times New Roman" w:cs="Times New Roman"/>
          <w:b w:val="0"/>
          <w:i w:val="0"/>
          <w:color w:val="000000"/>
          <w:sz w:val="24"/>
        </w:rPr>
        <w:t>Предложить истцу представить доказательства причинной связи каждого повреждения, включённого в акт осмотра транспортного средства от 30 октября 2023 г. и расчёт восстановительного ремонта, с ДТП от 29 октября 2023 г., включая первичные фотографии, материалы дефектовки и документы о разборке автомобиля.</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3. </w:t>
      </w:r>
      <w:r>
        <w:rPr>
          <w:rFonts w:ascii="Times New Roman" w:hAnsi="Times New Roman" w:eastAsia="Times New Roman" w:cs="Times New Roman"/>
          <w:b w:val="0"/>
          <w:i w:val="0"/>
          <w:color w:val="000000"/>
          <w:sz w:val="24"/>
        </w:rPr>
        <w:t>Истребовать полный комплект материалов, использованных при подготовке заключения № М331ЕН797 от 7 августа 2026 г., включая полный расчёт, исходные фотографии, акт осмотра, сведения об источниках цен и нормативах работ.</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4. </w:t>
      </w:r>
      <w:r>
        <w:rPr>
          <w:rFonts w:ascii="Times New Roman" w:hAnsi="Times New Roman" w:eastAsia="Times New Roman" w:cs="Times New Roman"/>
          <w:b w:val="0"/>
          <w:i w:val="0"/>
          <w:color w:val="000000"/>
          <w:sz w:val="24"/>
        </w:rPr>
        <w:t>Установить, обращался ли потерпевший за страховым возмещением по полису ОСАГО серии ТТТ № 7043868396, и применить последствия, предусмотренные пунктом 114 постановления Пленума Верховного Суда Российской Федерации от 8 ноября 2022 г. № 31; при необходимости разрешить вопрос о привлечении страховщика к участию в деле.</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5. </w:t>
      </w:r>
      <w:r>
        <w:rPr>
          <w:rFonts w:ascii="Times New Roman" w:hAnsi="Times New Roman" w:eastAsia="Times New Roman" w:cs="Times New Roman"/>
          <w:b w:val="0"/>
          <w:i w:val="0"/>
          <w:color w:val="000000"/>
          <w:sz w:val="24"/>
        </w:rPr>
        <w:t>Истребовать страховой акт от 11 ноября 2023 г., соглашение от 20 ноября 2023 г., документы о фактической выплате 57 100 руб. по договору КАСКО и сведения о переходе права требования к страховщику.</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6. </w:t>
      </w:r>
      <w:r>
        <w:rPr>
          <w:rFonts w:ascii="Times New Roman" w:hAnsi="Times New Roman" w:eastAsia="Times New Roman" w:cs="Times New Roman"/>
          <w:b w:val="0"/>
          <w:i w:val="0"/>
          <w:color w:val="000000"/>
          <w:sz w:val="24"/>
        </w:rPr>
        <w:t>Если после представления указанных документов сохранятся вопросы, требующие специальных знаний, назначить судебную автотехническую и автотовароведческую экспертизу.</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7. </w:t>
      </w:r>
      <w:r>
        <w:rPr>
          <w:rFonts w:ascii="Times New Roman" w:hAnsi="Times New Roman" w:eastAsia="Times New Roman" w:cs="Times New Roman"/>
          <w:b w:val="0"/>
          <w:i w:val="0"/>
          <w:color w:val="000000"/>
          <w:sz w:val="24"/>
        </w:rPr>
        <w:t>В удовлетворении иска отказать в недоказанной части; при наличии оснований определить ответственность ответчика только в пределах документально подтверждённой разницы между фактическим ущербом от данного ДТП и надлежащим страховым возмещением.</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8. </w:t>
      </w:r>
      <w:r>
        <w:rPr>
          <w:rFonts w:ascii="Times New Roman" w:hAnsi="Times New Roman" w:eastAsia="Times New Roman" w:cs="Times New Roman"/>
          <w:b w:val="0"/>
          <w:i w:val="0"/>
          <w:color w:val="000000"/>
          <w:sz w:val="24"/>
        </w:rPr>
        <w:t>Отказать во взыскании процентов по статье 395 ГК РФ за период до вступления решения суда в законную силу.</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9. </w:t>
      </w:r>
      <w:r>
        <w:rPr>
          <w:rFonts w:ascii="Times New Roman" w:hAnsi="Times New Roman" w:eastAsia="Times New Roman" w:cs="Times New Roman"/>
          <w:b w:val="0"/>
          <w:i w:val="0"/>
          <w:color w:val="000000"/>
          <w:sz w:val="24"/>
        </w:rPr>
        <w:t>Судебные расходы взыскать только в подтверждённом и разумном размере, пропорционально удовлетворённой части требований.</w:t>
      </w:r>
    </w:p>
    <w:p>
      <w:pPr>
        <w:pStyle w:val="Heading1"/>
        <w:keepNext/>
        <w:keepLines/>
        <w:spacing w:before="180" w:after="80"/>
        <w:jc w:val="left"/>
      </w:pPr>
      <w:r>
        <w:rPr>
          <w:rFonts w:ascii="Times New Roman" w:hAnsi="Times New Roman" w:eastAsia="Times New Roman" w:cs="Times New Roman"/>
          <w:b/>
          <w:i w:val="0"/>
          <w:color w:val="000000"/>
          <w:sz w:val="25"/>
        </w:rPr>
        <w:t>Вопросы для судебной экспертизы</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1. </w:t>
      </w:r>
      <w:r>
        <w:rPr>
          <w:rFonts w:ascii="Times New Roman" w:hAnsi="Times New Roman" w:eastAsia="Times New Roman" w:cs="Times New Roman"/>
          <w:b w:val="0"/>
          <w:i w:val="0"/>
          <w:color w:val="000000"/>
          <w:sz w:val="24"/>
        </w:rPr>
        <w:t>Какие из повреждений, указанных в акте осмотра транспортного средства от 30 октября 2023 г., могли образоваться при обстоятельствах ДТП 29 октября 2023 г.?</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2. </w:t>
      </w:r>
      <w:r>
        <w:rPr>
          <w:rFonts w:ascii="Times New Roman" w:hAnsi="Times New Roman" w:eastAsia="Times New Roman" w:cs="Times New Roman"/>
          <w:b w:val="0"/>
          <w:i w:val="0"/>
          <w:color w:val="000000"/>
          <w:sz w:val="24"/>
        </w:rPr>
        <w:t>Какой способ восстановительного ремонта технически необходим для каждого повреждения, относящегося к этому ДТП?</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3. </w:t>
      </w:r>
      <w:r>
        <w:rPr>
          <w:rFonts w:ascii="Times New Roman" w:hAnsi="Times New Roman" w:eastAsia="Times New Roman" w:cs="Times New Roman"/>
          <w:b w:val="0"/>
          <w:i w:val="0"/>
          <w:color w:val="000000"/>
          <w:sz w:val="24"/>
        </w:rPr>
        <w:t>Подлежала ли крышка багажника ремонту либо требовала замены; какие конкретные признаки определяют этот вывод?</w:t>
      </w:r>
    </w:p>
    <w:p>
      <w:pPr>
        <w:widowControl/>
        <w:spacing w:line="276" w:lineRule="auto" w:after="60"/>
        <w:ind w:left="369" w:hanging="369"/>
        <w:jc w:val="both"/>
      </w:pPr>
      <w:r>
        <w:rPr>
          <w:rFonts w:ascii="Times New Roman" w:hAnsi="Times New Roman" w:eastAsia="Times New Roman" w:cs="Times New Roman"/>
          <w:b/>
          <w:i w:val="0"/>
          <w:color w:val="000000"/>
          <w:sz w:val="24"/>
        </w:rPr>
        <w:t xml:space="preserve">4. </w:t>
      </w:r>
      <w:r>
        <w:rPr>
          <w:rFonts w:ascii="Times New Roman" w:hAnsi="Times New Roman" w:eastAsia="Times New Roman" w:cs="Times New Roman"/>
          <w:b w:val="0"/>
          <w:i w:val="0"/>
          <w:color w:val="000000"/>
          <w:sz w:val="24"/>
        </w:rPr>
        <w:t>Какова стоимость технически обоснованного восстановительного ремонта повреждений, причинённых в данном ДТП, без учёта и с учётом износа на юридически значимую дату?</w:t>
      </w:r>
    </w:p>
    <w:p>
      <w:pPr>
        <w:pStyle w:val="Heading1"/>
        <w:keepNext/>
        <w:keepLines/>
        <w:spacing w:before="180" w:after="80"/>
        <w:jc w:val="left"/>
      </w:pPr>
      <w:r>
        <w:rPr>
          <w:rFonts w:ascii="Times New Roman" w:hAnsi="Times New Roman" w:eastAsia="Times New Roman" w:cs="Times New Roman"/>
          <w:b/>
          <w:i w:val="0"/>
          <w:color w:val="000000"/>
          <w:sz w:val="25"/>
        </w:rPr>
        <w:t>Приложения</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1. </w:t>
      </w:r>
      <w:r>
        <w:rPr>
          <w:rFonts w:ascii="Times New Roman" w:hAnsi="Times New Roman" w:eastAsia="Times New Roman" w:cs="Times New Roman"/>
          <w:b w:val="0"/>
          <w:i w:val="0"/>
          <w:color w:val="000000"/>
          <w:sz w:val="22"/>
        </w:rPr>
        <w:t>Копия электронного извещения о ДТП от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2. </w:t>
      </w:r>
      <w:r>
        <w:rPr>
          <w:rFonts w:ascii="Times New Roman" w:hAnsi="Times New Roman" w:eastAsia="Times New Roman" w:cs="Times New Roman"/>
          <w:b w:val="0"/>
          <w:i w:val="0"/>
          <w:color w:val="000000"/>
          <w:sz w:val="22"/>
        </w:rPr>
        <w:t>Копия акта осмотра транспортного средства от 30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3. </w:t>
      </w:r>
      <w:r>
        <w:rPr>
          <w:rFonts w:ascii="Times New Roman" w:hAnsi="Times New Roman" w:eastAsia="Times New Roman" w:cs="Times New Roman"/>
          <w:b w:val="0"/>
          <w:i w:val="0"/>
          <w:color w:val="000000"/>
          <w:sz w:val="22"/>
        </w:rPr>
        <w:t>Копии фотографий автомобиля Volkswagen Polo после ДТП от 29 октября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4. </w:t>
      </w:r>
      <w:r>
        <w:rPr>
          <w:rFonts w:ascii="Times New Roman" w:hAnsi="Times New Roman" w:eastAsia="Times New Roman" w:cs="Times New Roman"/>
          <w:b w:val="0"/>
          <w:i w:val="0"/>
          <w:color w:val="000000"/>
          <w:sz w:val="22"/>
        </w:rPr>
        <w:t>Копии относящихся к спору страниц заключения № М331ЕН797 от 7 августа 2026 г. и расчёта восстановительного ремонта.</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5. </w:t>
      </w:r>
      <w:r>
        <w:rPr>
          <w:rFonts w:ascii="Times New Roman" w:hAnsi="Times New Roman" w:eastAsia="Times New Roman" w:cs="Times New Roman"/>
          <w:b w:val="0"/>
          <w:i w:val="0"/>
          <w:color w:val="000000"/>
          <w:sz w:val="22"/>
        </w:rPr>
        <w:t>Копия заявления на выплату страхового возмещения по договору КАСКО № 65/22-04(7)-000217 от 8 ноября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6. </w:t>
      </w:r>
      <w:r>
        <w:rPr>
          <w:rFonts w:ascii="Times New Roman" w:hAnsi="Times New Roman" w:eastAsia="Times New Roman" w:cs="Times New Roman"/>
          <w:b w:val="0"/>
          <w:i w:val="0"/>
          <w:color w:val="000000"/>
          <w:sz w:val="22"/>
        </w:rPr>
        <w:t>Копия платёжного поручения № 065/23-04-001505/01/07 от 20 ноября 2023 г.</w:t>
      </w:r>
    </w:p>
    <w:p>
      <w:pPr>
        <w:widowControl/>
        <w:spacing w:line="240" w:lineRule="auto" w:after="20"/>
        <w:ind w:left="369" w:hanging="369"/>
        <w:jc w:val="both"/>
      </w:pPr>
      <w:r>
        <w:rPr>
          <w:rFonts w:ascii="Times New Roman" w:hAnsi="Times New Roman" w:eastAsia="Times New Roman" w:cs="Times New Roman"/>
          <w:b/>
          <w:i w:val="0"/>
          <w:color w:val="000000"/>
          <w:sz w:val="22"/>
        </w:rPr>
        <w:t xml:space="preserve">7. </w:t>
      </w:r>
      <w:r>
        <w:rPr>
          <w:rFonts w:ascii="Times New Roman" w:hAnsi="Times New Roman" w:eastAsia="Times New Roman" w:cs="Times New Roman"/>
          <w:b w:val="0"/>
          <w:i w:val="0"/>
          <w:color w:val="000000"/>
          <w:sz w:val="22"/>
        </w:rPr>
        <w:t>Копии настоящих письменных возражений и приложений для лиц, участвующих в деле, либо подтверждения их направления.</w:t>
      </w:r>
    </w:p>
    <w:tbl>
      <w:tblPr>
        <w:tblW w:type="auto" w:w="0"/>
        <w:jc w:val="center"/>
        <w:tblLayout w:type="fixed"/>
        <w:tblLook w:firstColumn="1" w:firstRow="1" w:lastColumn="0" w:lastRow="0" w:noHBand="0" w:noVBand="1" w:val="04A0"/>
      </w:tblPr>
      <w:tblGrid>
        <w:gridCol w:w="3213"/>
        <w:gridCol w:w="3213"/>
        <w:gridCol w:w="3213"/>
      </w:tblGrid>
      <w:tr>
        <w:tc>
          <w:tcPr>
            <w:tcW w:type="dxa" w:w="2948"/>
            <w:tcMar>
              <w:top w:w="0" w:type="dxa"/>
              <w:start w:w="0" w:type="dxa"/>
              <w:bottom w:w="0" w:type="dxa"/>
              <w:end w:w="0" w:type="dxa"/>
            </w:tcMar>
            <w:tcBorders>
              <w:top w:val="nil"/>
              <w:left w:val="nil"/>
              <w:bottom w:val="nil"/>
              <w:right w:val="nil"/>
            </w:tcBorders>
            <w:vAlign w:val="bottom"/>
          </w:tcPr>
          <w:p>
            <w:pPr>
              <w:spacing w:after="0"/>
              <w:jc w:val="left"/>
            </w:pPr>
            <w:r>
              <w:rPr>
                <w:rFonts w:ascii="Times New Roman" w:hAnsi="Times New Roman" w:eastAsia="Times New Roman" w:cs="Times New Roman"/>
                <w:b w:val="0"/>
                <w:i w:val="0"/>
                <w:color w:val="000000"/>
                <w:sz w:val="24"/>
              </w:rPr>
              <w:t>22 октября 2026 г.</w:t>
            </w:r>
          </w:p>
        </w:tc>
        <w:tc>
          <w:tcPr>
            <w:tcW w:type="dxa" w:w="2268"/>
            <w:tcMar>
              <w:top w:w="0" w:type="dxa"/>
              <w:start w:w="0" w:type="dxa"/>
              <w:bottom w:w="0" w:type="dxa"/>
              <w:end w:w="0" w:type="dxa"/>
            </w:tcMar>
            <w:tcBorders>
              <w:top w:val="nil"/>
              <w:left w:val="nil"/>
              <w:bottom w:val="nil"/>
              <w:right w:val="nil"/>
            </w:tcBorders>
            <w:vAlign w:val="bottom"/>
          </w:tcPr>
          <w:p>
            <w:pPr>
              <w:spacing w:after="0"/>
              <w:jc w:val="center"/>
            </w:pPr>
            <w:r>
              <w:rPr>
                <w:rFonts w:ascii="Times New Roman" w:hAnsi="Times New Roman" w:eastAsia="Times New Roman" w:cs="Times New Roman"/>
                <w:b w:val="0"/>
                <w:i w:val="0"/>
                <w:color w:val="000000"/>
                <w:sz w:val="24"/>
              </w:rPr>
              <w:t>________________</w:t>
            </w:r>
          </w:p>
        </w:tc>
        <w:tc>
          <w:tcPr>
            <w:tcW w:type="dxa" w:w="3402"/>
            <w:tcMar>
              <w:top w:w="0" w:type="dxa"/>
              <w:start w:w="0" w:type="dxa"/>
              <w:bottom w:w="0" w:type="dxa"/>
              <w:end w:w="0" w:type="dxa"/>
            </w:tcMar>
            <w:tcBorders>
              <w:top w:val="nil"/>
              <w:left w:val="nil"/>
              <w:bottom w:val="nil"/>
              <w:right w:val="nil"/>
            </w:tcBorders>
            <w:vAlign w:val="bottom"/>
          </w:tcPr>
          <w:p>
            <w:pPr>
              <w:spacing w:after="0"/>
              <w:jc w:val="right"/>
            </w:pPr>
            <w:r>
              <w:rPr>
                <w:rFonts w:ascii="Times New Roman" w:hAnsi="Times New Roman" w:eastAsia="Times New Roman" w:cs="Times New Roman"/>
                <w:b w:val="0"/>
                <w:i w:val="0"/>
                <w:color w:val="000000"/>
                <w:sz w:val="24"/>
              </w:rPr>
              <w:t>М. В. Димитриева</w:t>
            </w:r>
          </w:p>
        </w:tc>
      </w:tr>
      <w:tr>
        <w:tc>
          <w:tcPr>
            <w:tcW w:type="dxa" w:w="2948"/>
            <w:tcMar>
              <w:top w:w="0" w:type="dxa"/>
              <w:start w:w="0" w:type="dxa"/>
              <w:bottom w:w="0" w:type="dxa"/>
              <w:end w:w="0" w:type="dxa"/>
            </w:tcMar>
            <w:tcBorders>
              <w:top w:val="nil"/>
              <w:left w:val="nil"/>
              <w:bottom w:val="nil"/>
              <w:right w:val="nil"/>
            </w:tcBorders>
            <w:vAlign w:val="bottom"/>
          </w:tcPr>
          <w:p>
            <w:pPr>
              <w:spacing w:after="0"/>
              <w:jc w:val="left"/>
            </w:pPr>
            <w:r>
              <w:rPr>
                <w:rFonts w:ascii="Times New Roman" w:hAnsi="Times New Roman" w:eastAsia="Times New Roman" w:cs="Times New Roman"/>
                <w:b w:val="0"/>
                <w:i w:val="0"/>
                <w:color w:val="000000"/>
                <w:sz w:val="18"/>
              </w:rPr>
            </w:r>
          </w:p>
        </w:tc>
        <w:tc>
          <w:tcPr>
            <w:tcW w:type="dxa" w:w="2268"/>
            <w:tcMar>
              <w:top w:w="0" w:type="dxa"/>
              <w:start w:w="0" w:type="dxa"/>
              <w:bottom w:w="0" w:type="dxa"/>
              <w:end w:w="0" w:type="dxa"/>
            </w:tcMar>
            <w:tcBorders>
              <w:top w:val="nil"/>
              <w:left w:val="nil"/>
              <w:bottom w:val="nil"/>
              <w:right w:val="nil"/>
            </w:tcBorders>
            <w:vAlign w:val="bottom"/>
          </w:tcPr>
          <w:p>
            <w:pPr>
              <w:spacing w:after="0"/>
              <w:jc w:val="center"/>
            </w:pPr>
            <w:r>
              <w:rPr>
                <w:rFonts w:ascii="Times New Roman" w:hAnsi="Times New Roman" w:eastAsia="Times New Roman" w:cs="Times New Roman"/>
                <w:b w:val="0"/>
                <w:i w:val="0"/>
                <w:color w:val="000000"/>
                <w:sz w:val="18"/>
              </w:rPr>
              <w:t>подпись</w:t>
            </w:r>
          </w:p>
        </w:tc>
        <w:tc>
          <w:tcPr>
            <w:tcW w:type="dxa" w:w="3402"/>
            <w:tcMar>
              <w:top w:w="0" w:type="dxa"/>
              <w:start w:w="0" w:type="dxa"/>
              <w:bottom w:w="0" w:type="dxa"/>
              <w:end w:w="0" w:type="dxa"/>
            </w:tcMar>
            <w:tcBorders>
              <w:top w:val="nil"/>
              <w:left w:val="nil"/>
              <w:bottom w:val="nil"/>
              <w:right w:val="nil"/>
            </w:tcBorders>
            <w:vAlign w:val="bottom"/>
          </w:tcPr>
          <w:p>
            <w:pPr>
              <w:spacing w:after="0"/>
              <w:jc w:val="right"/>
            </w:pPr>
            <w:r>
              <w:rPr>
                <w:rFonts w:ascii="Times New Roman" w:hAnsi="Times New Roman" w:eastAsia="Times New Roman" w:cs="Times New Roman"/>
                <w:b w:val="0"/>
                <w:i w:val="0"/>
                <w:color w:val="000000"/>
                <w:sz w:val="18"/>
              </w:rPr>
            </w:r>
          </w:p>
        </w:tc>
      </w:tr>
    </w:tbl>
    <w:sectPr w:rsidR="00FC693F" w:rsidRPr="0006063C" w:rsidSect="00034616">
      <w:footerReference w:type="default" r:id="rId9"/>
      <w:pgSz w:w="11906" w:h="16838"/>
      <w:pgMar w:top="1020" w:right="850" w:bottom="964"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Письменные возражения ответчика по делу № 02-5004/2026</dc:title>
  <dc:subject>Возражения на иск ООО «ВИГОРАВТО» о возмещении ущерба от ДТП</dc:subject>
  <dc:creator>Димитриева Марина Владимировна</dc:creator>
  <cp:keywords>возражения, ДТП, ущерб, ОСАГО, КАСКО</cp:keywords>
  <dc:description>Подготовлено для подачи в Нагатинский районный суд города Москвы</dc:description>
  <cp:lastModifiedBy/>
  <cp:revision>1</cp:revision>
  <dcterms:created xsi:type="dcterms:W3CDTF">2013-12-23T23:15:00Z</dcterms:created>
  <dcterms:modified xsi:type="dcterms:W3CDTF">2013-12-23T23:15:00Z</dcterms:modified>
  <cp:category/>
</cp:coreProperties>
</file>