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49"/>
        <w:gridCol w:w="4989"/>
      </w:tblGrid>
      <w:tr>
        <w:tc>
          <w:tcPr>
            <w:tcW w:type="dxa" w:w="4819"/>
            <w:vAlign w:val="top"/>
            <w:tcMar>
              <w:top w:w="0" w:type="dxa"/>
              <w:start w:w="0" w:type="dxa"/>
              <w:bottom w:w="0" w:type="dxa"/>
              <w:end w:w="0" w:type="dxa"/>
            </w:tcMar>
            <w:tcBorders>
              <w:top w:val="nil"/>
              <w:left w:val="nil"/>
              <w:bottom w:val="nil"/>
              <w:right w:val="nil"/>
              <w:insideH w:val="nil"/>
              <w:insideV w:val="nil"/>
            </w:tcBorders>
          </w:tcPr>
          <w:p/>
        </w:tc>
        <w:tc>
          <w:tcPr>
            <w:tcW w:type="dxa" w:w="4819"/>
            <w:vAlign w:val="top"/>
            <w:tcMar>
              <w:top w:w="0" w:type="dxa"/>
              <w:start w:w="0" w:type="dxa"/>
              <w:bottom w:w="0" w:type="dxa"/>
              <w:end w:w="0" w:type="dxa"/>
            </w:tcMar>
            <w:tcBorders>
              <w:top w:val="nil"/>
              <w:left w:val="nil"/>
              <w:bottom w:val="nil"/>
              <w:right w:val="nil"/>
              <w:insideH w:val="nil"/>
              <w:insideV w:val="nil"/>
            </w:tcBorders>
          </w:tcPr>
          <w:p>
            <w:pPr>
              <w:spacing w:after="40" w:line="240" w:lineRule="auto"/>
              <w:jc w:val="left"/>
            </w:pPr>
            <w:r/>
            <w:r>
              <w:rPr>
                <w:rFonts w:ascii="Times New Roman" w:hAnsi="Times New Roman" w:eastAsia="Times New Roman" w:cs="Times New Roman"/>
                <w:b/>
                <w:i w:val="0"/>
                <w:color w:val="000000"/>
                <w:sz w:val="22"/>
              </w:rPr>
              <w:t>В Нагатинский районный суд города Москвы</w:t>
            </w:r>
          </w:p>
          <w:p>
            <w:pPr>
              <w:spacing w:after="40" w:line="240" w:lineRule="auto"/>
              <w:jc w:val="left"/>
            </w:pPr>
            <w:r>
              <w:rPr>
                <w:rFonts w:ascii="Times New Roman" w:hAnsi="Times New Roman" w:eastAsia="Times New Roman" w:cs="Times New Roman"/>
                <w:b/>
                <w:i w:val="0"/>
                <w:color w:val="000000"/>
                <w:sz w:val="22"/>
              </w:rPr>
              <w:t>Дело № 02-5004/2026</w:t>
            </w:r>
          </w:p>
          <w:p>
            <w:pPr>
              <w:spacing w:after="40" w:line="240" w:lineRule="auto"/>
              <w:jc w:val="left"/>
            </w:pPr>
            <w:r>
              <w:rPr>
                <w:rFonts w:ascii="Times New Roman" w:hAnsi="Times New Roman" w:eastAsia="Times New Roman" w:cs="Times New Roman"/>
                <w:b w:val="0"/>
                <w:i w:val="0"/>
                <w:color w:val="000000"/>
                <w:sz w:val="22"/>
              </w:rPr>
            </w:r>
          </w:p>
          <w:p>
            <w:pPr>
              <w:spacing w:after="40" w:line="240" w:lineRule="auto"/>
              <w:jc w:val="left"/>
            </w:pPr>
            <w:r>
              <w:rPr>
                <w:rFonts w:ascii="Times New Roman" w:hAnsi="Times New Roman" w:eastAsia="Times New Roman" w:cs="Times New Roman"/>
                <w:b w:val="0"/>
                <w:i w:val="0"/>
                <w:color w:val="000000"/>
                <w:sz w:val="22"/>
              </w:rPr>
              <w:t>Истец: ООО «ВИГОРАВТО»</w:t>
            </w:r>
          </w:p>
          <w:p>
            <w:pPr>
              <w:spacing w:after="40" w:line="240" w:lineRule="auto"/>
              <w:jc w:val="left"/>
            </w:pPr>
            <w:r>
              <w:rPr>
                <w:rFonts w:ascii="Times New Roman" w:hAnsi="Times New Roman" w:eastAsia="Times New Roman" w:cs="Times New Roman"/>
                <w:b w:val="0"/>
                <w:i w:val="0"/>
                <w:color w:val="000000"/>
                <w:sz w:val="22"/>
              </w:rPr>
            </w:r>
          </w:p>
          <w:p>
            <w:pPr>
              <w:spacing w:after="40" w:line="240" w:lineRule="auto"/>
              <w:jc w:val="left"/>
            </w:pPr>
            <w:r>
              <w:rPr>
                <w:rFonts w:ascii="Times New Roman" w:hAnsi="Times New Roman" w:eastAsia="Times New Roman" w:cs="Times New Roman"/>
                <w:b w:val="0"/>
                <w:i w:val="0"/>
                <w:color w:val="000000"/>
                <w:sz w:val="22"/>
              </w:rPr>
              <w:t>Ответчик: Димитриева Марина Владимировна</w:t>
            </w:r>
          </w:p>
        </w:tc>
      </w:tr>
    </w:tbl>
    <w:p>
      <w:pPr>
        <w:spacing w:after="40"/>
      </w:pPr>
    </w:p>
    <w:p>
      <w:pPr>
        <w:keepNext/>
        <w:spacing w:before="120" w:after="40"/>
        <w:jc w:val="center"/>
      </w:pPr>
      <w:r>
        <w:rPr>
          <w:rFonts w:ascii="Times New Roman" w:hAnsi="Times New Roman" w:eastAsia="Times New Roman" w:cs="Times New Roman"/>
          <w:b/>
          <w:i w:val="0"/>
          <w:color w:val="000000"/>
          <w:sz w:val="28"/>
        </w:rPr>
        <w:t>ПИСЬМЕННЫЕ ВОЗРАЖЕНИЯ ОТВЕТЧИКА</w:t>
      </w:r>
    </w:p>
    <w:p>
      <w:pPr>
        <w:keepNext/>
        <w:spacing w:after="200"/>
        <w:jc w:val="center"/>
      </w:pPr>
      <w:r>
        <w:rPr>
          <w:rFonts w:ascii="Times New Roman" w:hAnsi="Times New Roman" w:eastAsia="Times New Roman" w:cs="Times New Roman"/>
          <w:b w:val="0"/>
          <w:i/>
          <w:color w:val="000000"/>
          <w:sz w:val="24"/>
        </w:rPr>
        <w:t>на иск о возмещении ущерба, причинённого дорожно-транспортным происшествием</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Ответчик не оспаривает сам факт дорожно-транспортного происшествия 29 октября 2023 г. и то, что в электронном извещении о ДТП было указано повреждение крышки багажника автомобиля Volkswagen Polo, государственный регистрационный знак М331ЕН797. Ответчик оспаривает причинную связь между этим ДТП и всеми повреждениями, включёнными в последующий акт осмотра и расчёт, необходимость замены отдельных деталей, размер заявленного ущерба, а также начисление процентов со дня ДТП.</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Истец просит взыскать 170 390 руб. 87 коп. ущерба, рассчитанного как стоимость восстановительного ремонта без учёта износа 227 490 руб. 87 коп. за вычетом 57 100 руб., выплаченных по договору КАСКО; проценты по статье 395 ГК РФ в размере 82 547 руб. 39 коп. за период с 29 октября 2023 г. по 10 августа 2026 г. с дальнейшим начислением; 50 000 руб. расходов на представителя; 25 000 руб. расходов на заключение; 8 588 руб. государственной пошлины и 520 руб. почтовых расходов.</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По правилам статей 15, 1064 и 1072 ГК РФ истец должен доказать состав и размер реального ущерба, причинную связь каждого заявленного повреждения с данным ДТП, необходимость выбранного способа ремонта, а также размер той части вреда, которая не покрывается обязательным страхованием. В силу статей 56 и 67 ГПК РФ ни один из представленных документов не имеет заранее установленной силы и подлежит оценке вместе с другими доказательствами.</w:t>
      </w:r>
    </w:p>
    <w:p>
      <w:pPr>
        <w:pStyle w:val="Heading1"/>
        <w:keepNext/>
        <w:keepLines/>
        <w:spacing w:before="180" w:after="80"/>
        <w:jc w:val="left"/>
      </w:pPr>
      <w:r>
        <w:rPr>
          <w:rFonts w:ascii="Times New Roman" w:hAnsi="Times New Roman" w:eastAsia="Times New Roman" w:cs="Times New Roman"/>
          <w:b/>
          <w:i w:val="0"/>
          <w:color w:val="000000"/>
          <w:sz w:val="25"/>
        </w:rPr>
        <w:t>1. Документы по ДТП не подтверждают весь заявленный объём повреждений</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электронном извещении о ДТП от 29 октября 2023 г., составленном непосредственно после столкновения и подписанном обоими водителями, в разделе о повреждениях автомобиля Volkswagen Polo указана только крышка багажника. Иные наружные, внутренние и подбамперные детали в извещении не перечислены.</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акте осмотра транспортного средства от 30 октября 2023 г. уже зафиксированы десять позиций. Само по себе более позднее выявление скрытого повреждения возможно и ответчиком не исключается. Однако разница между двумя документами требует доказательств того, что каждая дополнительная позиция возникла именно в столкновении 29 октября 2023 г. Для этого имеют значение первичные фотографии, условия и методика осмотра, наличие разборки, описание характера и расположения деформаций, а также их техническая совместимость с механизмом ДТП.</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Фотографии автомобиля Volkswagen Polo были сделаны ответчиком на телефон непосредственно после ДТП 29 октября 2023 г. и являются первичной фиксацией его состояния. На них не зафиксированы все повреждения, которые на следующий день включили в акт осмотра, а позднее — в расчёт. Это не исключает скрытых повреждений, но требует технического объяснения расхождения и доказательств причинной связи по каждой дополнительной позиции. Материалов дефектовки и последовательной фотофиксации осмотра от 30 октября 2023 г. ответчику не представлено.</w:t>
      </w:r>
    </w:p>
    <w:p>
      <w:pPr>
        <w:pStyle w:val="Heading1"/>
        <w:keepNext/>
        <w:keepLines/>
        <w:spacing w:before="180" w:after="80"/>
        <w:jc w:val="left"/>
      </w:pPr>
      <w:r>
        <w:rPr>
          <w:rFonts w:ascii="Times New Roman" w:hAnsi="Times New Roman" w:eastAsia="Times New Roman" w:cs="Times New Roman"/>
          <w:b/>
          <w:i w:val="0"/>
          <w:color w:val="000000"/>
          <w:sz w:val="25"/>
        </w:rPr>
        <w:t>2. Необходимость замены крышки багажника не обоснована</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акте осмотра транспортного средства от 30 октября 2023 г. напротив крышки багажника сделана краткая отметка «деф. 21К». В акте не раскрыто значение этой отметки, не приведены размеры, глубина и расположение деформации, не указано наличие разрывов или повреждения силовых элементов, не объяснено, почему деталь нельзя восстановить ремонтом.</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Между тем в расчёте, приложенном к заключению № М331ЕН797 от 7 августа 2026 г., включена новая крышка багажника с каталожным номером 6RU827025F стоимостью 133 112 руб., а также работы по её замене, снятию, установке и окраске. Именно эта позиция составляет основную часть заявленной стоимости ремонта. Вывод о необходимости замены должен опираться на конкретные признаки неремонтопригодности детали, а не только на сокращённую отметку в акте.</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Заключение № М331ЕН797 отвечает на вопросы о стоимости ремонта по предоставленному акту осмотра. Из его выводов не следует, что специалист самостоятельно осматривал автомобиль, исследовал исходные фотографии и устанавливал происхождение каждого повреждения. Поэтому указанное заключение подтверждает расчёт стоимости при принятых исходных данных, но само по себе не устраняет спор о причинной связи и выборе замены вместо ремонта.</w:t>
      </w:r>
    </w:p>
    <w:p>
      <w:pPr>
        <w:pStyle w:val="Heading1"/>
        <w:keepNext/>
        <w:keepLines/>
        <w:spacing w:before="180" w:after="80"/>
        <w:jc w:val="left"/>
      </w:pPr>
      <w:r>
        <w:rPr>
          <w:rFonts w:ascii="Times New Roman" w:hAnsi="Times New Roman" w:eastAsia="Times New Roman" w:cs="Times New Roman"/>
          <w:b/>
          <w:i w:val="0"/>
          <w:color w:val="000000"/>
          <w:sz w:val="25"/>
        </w:rPr>
        <w:t>3. Акт осмотра и расчёт содержат конкретное несоответствие</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акте осмотра транспортного средства от 30 октября 2023 г. указано: «обшивка замка крышки багажника — задиры». В расчёте восстановительного ремонта включена замена механизма замка крышки багажника с каталожным номером 6RU827505C стоимостью 8 760 руб. 67 коп., а также связанные с ним работы. Обшивка замка и механизм замка являются различными деталями. Повреждение обшивки в виде задиров не подтверждает неисправность механизма и необходимость его замены.</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Это несоответствие нельзя устранить предположением. Истец должен представить фотографию или дефектовочный документ, где зафиксировано повреждение именно механизма замка, либо техническое объяснение, почему повреждение обшивки потребовало его замены. При отсутствии такого доказательства стоимость механизма замка и соответствующих работ не относится к доказанному ущербу.</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Кроме того, в представленном ответчику комплекте имеется только часть расчётных материалов. Для проверки расчёта необходимы полный текст приложения к заключению № М331ЕН797, исходный акт, фотографии и иные материалы, переданные специалисту, а также сведения об источниках цен и нормативах работ. Ответчик не заявляет об арифметической ошибке без полного расчёта, но указывает, что неполный комплект не позволяет проверить исходные данные и состав операций.</w:t>
      </w:r>
    </w:p>
    <w:p>
      <w:pPr>
        <w:pStyle w:val="Heading1"/>
        <w:keepNext/>
        <w:keepLines/>
        <w:spacing w:before="180" w:after="80"/>
        <w:jc w:val="left"/>
      </w:pPr>
      <w:r>
        <w:rPr>
          <w:rFonts w:ascii="Times New Roman" w:hAnsi="Times New Roman" w:eastAsia="Times New Roman" w:cs="Times New Roman"/>
          <w:b/>
          <w:i w:val="0"/>
          <w:color w:val="000000"/>
          <w:sz w:val="25"/>
        </w:rPr>
        <w:t>4. Остальные позиции акта и связанные работы также требуют доказательств</w:t>
      </w:r>
    </w:p>
    <w:p>
      <w:pPr>
        <w:widowControl/>
        <w:spacing w:line="276" w:lineRule="auto" w:before="0" w:after="80"/>
        <w:ind w:firstLine="709"/>
        <w:jc w:val="both"/>
      </w:pPr>
      <w:r>
        <w:rPr>
          <w:rFonts w:ascii="Times New Roman" w:hAnsi="Times New Roman" w:eastAsia="Times New Roman" w:cs="Times New Roman"/>
          <w:b w:val="0"/>
          <w:i w:val="0"/>
          <w:color w:val="000000"/>
          <w:sz w:val="24"/>
        </w:rPr>
        <w:t>Ответчик оспаривает не только замену крышки багажника и механизма замка. По каждой из десяти позиций акта осмотра транспортного средства от 30 октября 2023 г. истец должен доказать наличие конкретного дефекта, его возникновение именно при ДТП 29 октября 2023 г., техническую необходимость замены либо ремонта и стоимость выбранного способа восстановления. Одна отметка в акте без фотографий и описания механизма образования повреждения не отвечает на эти вопросы.</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4.1. Плёнка крышки багажника. </w:t>
      </w:r>
      <w:r>
        <w:rPr>
          <w:rFonts w:ascii="Times New Roman" w:hAnsi="Times New Roman" w:eastAsia="Times New Roman" w:cs="Times New Roman"/>
          <w:b w:val="0"/>
          <w:i w:val="0"/>
          <w:color w:val="000000"/>
          <w:sz w:val="24"/>
        </w:rPr>
        <w:t>В акте имеется самостоятельная строка «плёнка крышки багажника» с сокращением «Р.М.», а в расчёте указана плёнка стоимостью 1 500 руб. и общая операция «плёнка — замена» стоимостью 400 руб. На первичных фотографиях крышка багажника выглядит белой; отдельное покрытие, его границы и повреждение не различимы. Ответчик не исключает наличия прозрачной защитной плёнки, однако рекламные надписи на заднем стекле и бампере сами по себе не подтверждают наличие плёнки именно на крышке. Требуется установить вид покрытия, его площадь, наличие до ДТП, конкретный повреждённый участок, объём замены и источник цены.</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4.2. Облицовка заднего бампера и окраска. </w:t>
      </w:r>
      <w:r>
        <w:rPr>
          <w:rFonts w:ascii="Times New Roman" w:hAnsi="Times New Roman" w:eastAsia="Times New Roman" w:cs="Times New Roman"/>
          <w:b w:val="0"/>
          <w:i w:val="0"/>
          <w:color w:val="000000"/>
          <w:sz w:val="24"/>
        </w:rPr>
        <w:t>В акте задний бампер указан с сокращением «Р.М.» и отметками о замене и окраске, но характер дефекта не описан. В расчёте включена новая облицовка заднего бампера 6RU807421DGRU стоимостью 13 554 руб., работы по её замене и снятию/установке, а также окраска новой части стоимостью 1 960 руб. с подготовительными и расходными материалами. На фотографиях, сделанных сразу после ДТП, общий контур бампера сохранён; крупный разрыв, значительное смещение или разрушение наружной поверхности с представленных ракурсов не просматриваются. Это не исключает дефекта снизу, внутри или упругого восстановления пластика после удара. Наименование «облицовка заднего бампера» не подтверждает наличие отдельной нижней накладки. Истец должен идентифицировать деталь и её расположение, показать повреждение и обосновать, почему необходимы полная замена и окраска, а локальный ремонт невозможен.</w:t>
      </w:r>
    </w:p>
    <w:p>
      <w:pPr>
        <w:widowControl/>
        <w:spacing w:line="276" w:lineRule="auto" w:before="0" w:after="80"/>
        <w:ind w:firstLine="709"/>
        <w:jc w:val="both"/>
      </w:pPr>
      <w:r>
        <w:rPr>
          <w:rFonts w:ascii="Times New Roman" w:hAnsi="Times New Roman" w:eastAsia="Times New Roman" w:cs="Times New Roman"/>
          <w:b w:val="0"/>
          <w:i w:val="0"/>
          <w:color w:val="000000"/>
          <w:sz w:val="24"/>
        </w:rPr>
        <w:t>Способность пластиковой облицовки частично возвращаться к исходной форме объясняет, почему внутренний дефект может не быть виден снаружи. Но эта общая возможность не доказывает ни само повреждение конкретной детали, ни время его возникновения. Без фотографий разборки, датированной дефектовки и описания свежих следов нельзя исключить, что скрытый дефект существовал до данного ДТП. Поэтому по каждому элементу необходимо сопоставить направление удара, зону контакта, характер разрушения и признаки давности.</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4.3. Плёнка заднего бампера и сочетание её замены с окраской. </w:t>
      </w:r>
      <w:r>
        <w:rPr>
          <w:rFonts w:ascii="Times New Roman" w:hAnsi="Times New Roman" w:eastAsia="Times New Roman" w:cs="Times New Roman"/>
          <w:b w:val="0"/>
          <w:i w:val="0"/>
          <w:color w:val="000000"/>
          <w:sz w:val="24"/>
        </w:rPr>
        <w:t>В акте отдельно указана «плёнка заднего бампера», а в расчёте — 2 500 руб. за плёнку и 400 руб. за работу по замене плёнки. На первичных фотографиях видна локальная рекламная надпись «Приглашаем водителей» и номер телефона в нижней части заднего бампера; остальные видимые поверхности кузова и крышки багажника белые. Такая реклама не доказывает сплошную оклейку автомобиля и не позволяет определить, идёт ли речь о рекламной, защитной, бронирующей или иной плёнке. Истец должен показать повреждённый участок и площадь покрытия, обосновать объём его замены и объяснить технологическую необходимость одновременного включения новой облицовки бампера, её окраски и новой плёнки. Если окраска и оклейка выполняются последовательно, должны быть представлены соответствующая технология и расчёт без повторного учёта одних и тех же подготовительных операций.</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4.4. Отражатель заднего бампера. </w:t>
      </w:r>
      <w:r>
        <w:rPr>
          <w:rFonts w:ascii="Times New Roman" w:hAnsi="Times New Roman" w:eastAsia="Times New Roman" w:cs="Times New Roman"/>
          <w:b w:val="0"/>
          <w:i w:val="0"/>
          <w:color w:val="000000"/>
          <w:sz w:val="24"/>
        </w:rPr>
        <w:t>В акте отражатель указан отдельной строкой с отметкой о замене. На предоставленной странице расчёта отдельная запасная часть с таким наименованием отсутствует. Необходимо установить, какой именно отражатель и с какой стороны повреждён, в чём состоит дефект — трещина, повреждение крепления либо отражающей поверхности, где учтена его стоимость и не включён ли он повторно в другую сборочную позицию.</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4.5. Крепления заднего бампера. </w:t>
      </w:r>
      <w:r>
        <w:rPr>
          <w:rFonts w:ascii="Times New Roman" w:hAnsi="Times New Roman" w:eastAsia="Times New Roman" w:cs="Times New Roman"/>
          <w:b w:val="0"/>
          <w:i w:val="0"/>
          <w:color w:val="000000"/>
          <w:sz w:val="24"/>
        </w:rPr>
        <w:t>Акт содержит одну позицию «крепление зад. бампера» с отметкой о замене. В расчёте при этом указаны две детали: планка крепления заднего бампера стоимостью 2 643 руб. 67 коп. и направляющая заднего бампера правая стоимостью 870 руб. 67 коп. Наружные фотографии не позволяют осмотреть эти элементы. Требуются фотографии после снятия бампера, указание стороны и места каждого слома, объяснение связи двух расчётных деталей с одной строкой акта и проверка того, не входят ли крепления в комплект иной заменяемой детали.</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4.6. Кронштейн заднего фонаря. </w:t>
      </w:r>
      <w:r>
        <w:rPr>
          <w:rFonts w:ascii="Times New Roman" w:hAnsi="Times New Roman" w:eastAsia="Times New Roman" w:cs="Times New Roman"/>
          <w:b w:val="0"/>
          <w:i w:val="0"/>
          <w:color w:val="000000"/>
          <w:sz w:val="24"/>
        </w:rPr>
        <w:t>Акт содержит строку о замене кронштейна заднего фонаря. На первичных фотографиях оба задних фонаря находятся на месте, наружное стекло и работа световых секций визуально не свидетельствуют о крупном разрушении; это, однако, не позволяет оценить скрытое крепление. В перечне запасных частей расчёта отдельный кронштейн фонаря не обозначен. Истцу необходимо указать сторону, показать место слома после снятия фонаря, пояснить, является ли кронштейн отдельной деталью либо частью корпуса фонаря, где учтена его цена и почему крепление нельзя восстановить.</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4.7. Усилитель или поперечина панели задка. </w:t>
      </w:r>
      <w:r>
        <w:rPr>
          <w:rFonts w:ascii="Times New Roman" w:hAnsi="Times New Roman" w:eastAsia="Times New Roman" w:cs="Times New Roman"/>
          <w:b w:val="0"/>
          <w:i w:val="0"/>
          <w:color w:val="000000"/>
          <w:sz w:val="24"/>
        </w:rPr>
        <w:t>В акте по усилителю панели задка отмечены ремонт со значением «3» и окраска. В расчёте имеется операция «поперечина панели задка — ремонт» продолжительностью 3 нормо-часа стоимостью 5 880 руб. и её окраска после ремонта стоимостью 980 руб. Необходимо подтвердить, что в акте и расчёте имеется в виду один и тот же элемент, представить фотографию металла после снятия бампера, измерения и описание деформации, а также обосновать объём ремонта и окраски.</w:t>
      </w:r>
    </w:p>
    <w:p>
      <w:pPr>
        <w:widowControl/>
        <w:spacing w:line="276" w:lineRule="auto" w:before="0" w:after="80"/>
        <w:ind w:firstLine="709"/>
        <w:jc w:val="both"/>
      </w:pPr>
      <w:r>
        <w:rPr>
          <w:rFonts w:ascii="Times New Roman" w:hAnsi="Times New Roman" w:eastAsia="Times New Roman" w:cs="Times New Roman"/>
          <w:b/>
          <w:i w:val="0"/>
          <w:color w:val="000000"/>
          <w:sz w:val="24"/>
        </w:rPr>
        <w:t xml:space="preserve">4.8. Панель задка и связанные разборочные работы. </w:t>
      </w:r>
      <w:r>
        <w:rPr>
          <w:rFonts w:ascii="Times New Roman" w:hAnsi="Times New Roman" w:eastAsia="Times New Roman" w:cs="Times New Roman"/>
          <w:b w:val="0"/>
          <w:i w:val="0"/>
          <w:color w:val="000000"/>
          <w:sz w:val="24"/>
        </w:rPr>
        <w:t>Акт предусматривает замену и окраску панели задка. В расчёте указана панель 6RU813301A стоимостью 10 361 руб. 33 коп., её замена продолжительностью 5,2 нормо-часа стоимостью 10 192 руб., частичный монтаж и демонтаж, а также снятие заднего моста и колёс, операции с тормозной системой, глушителем, топливным баком, аккумулятором, крышкой заливной горловины, обшивкой крышки багажника и замком. Такой объём вмешательства требует фотографий после разборки, измерений геометрии, технологической карты ремонта, объяснения невозможности восстановления панели без замены и проверки пересечения операций. Наружные фотографии не подтверждают и не опровергают деформацию скрытой панели, поэтому решающее значение имеют именно первичные материалы дефектовки.</w:t>
      </w:r>
    </w:p>
    <w:p>
      <w:pPr>
        <w:widowControl/>
        <w:spacing w:line="276" w:lineRule="auto" w:before="0" w:after="80"/>
        <w:ind w:firstLine="709"/>
        <w:jc w:val="both"/>
      </w:pPr>
      <w:r>
        <w:rPr>
          <w:rFonts w:ascii="Times New Roman" w:hAnsi="Times New Roman" w:eastAsia="Times New Roman" w:cs="Times New Roman"/>
          <w:b w:val="0"/>
          <w:i w:val="0"/>
          <w:color w:val="000000"/>
          <w:sz w:val="24"/>
        </w:rPr>
        <w:t>Таким образом, ответчик оспаривает происхождение, объём и способ устранения повреждений по всем десяти строкам акта. Поздний расчёт стоимости, составленный по этому акту, не заменяет доказательства фактического повреждения каждой детали и не позволяет определить, возникло ли оно в данном ДТП либо существовало ранее.</w:t>
      </w:r>
    </w:p>
    <w:p>
      <w:pPr>
        <w:pStyle w:val="Heading1"/>
        <w:keepNext/>
        <w:keepLines/>
        <w:spacing w:before="180" w:after="80"/>
        <w:jc w:val="left"/>
      </w:pPr>
      <w:r>
        <w:rPr>
          <w:rFonts w:ascii="Times New Roman" w:hAnsi="Times New Roman" w:eastAsia="Times New Roman" w:cs="Times New Roman"/>
          <w:b/>
          <w:i w:val="0"/>
          <w:color w:val="000000"/>
          <w:sz w:val="25"/>
        </w:rPr>
        <w:t>5. Размер ответственности нельзя определить без материалов по ОСАГО и КАСКО</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электронном извещении о ДТП от 29 октября 2023 г. указан полис ОСАГО ответчика серии ТТТ № 7043868396. По статье 1072 ГК РФ лицо, застраховавшее свою ответственность, возмещает только разницу между страховым возмещением и фактическим размером ущерба, если страховой выплаты недостаточно. Следовательно, до определения личной ответственности ответчика необходимо установить, обращался ли потерпевший к страховщику по ОСАГО, какое решение принято, какая сумма подлежала выплате и соблюдён ли обязательный досудебный порядок.</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Пункт 114 постановления Пленума Верховного Суда Российской Федерации от 8 ноября 2022 г. № 31 связывает процессуальное положение страховщика и порядок рассмотрения требования к причинителю вреда с тем, обращался ли потерпевший за страховым возмещением и выполнил ли предусмотренные законом досудебные действия. Эти обстоятельства в иске не раскрыты, а подтверждающие документы ответчику не представлены.</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Отдельно из заявления на выплату страхового возмещения по договору КАСКО № 65/22-04(7)-000217 от 8 ноября 2023 г. и платёжного поручения № 065/23-04-001505/01/07 от 20 ноября 2023 г. следует оформление выплаты 57 100 руб. Для проверки того, какая часть требования сохранилась у истца, необходимы страховой акт от 11 ноября 2023 г., соглашение от 20 ноября 2023 г., документы о фактическом перечислении денег и сведения о переходе права требования к страховщику. Эти документы также важны для исключения повторного возмещения одного и того же вреда.</w:t>
      </w:r>
    </w:p>
    <w:p>
      <w:pPr>
        <w:pStyle w:val="Heading1"/>
        <w:keepNext/>
        <w:keepLines/>
        <w:spacing w:before="180" w:after="80"/>
        <w:jc w:val="left"/>
      </w:pPr>
      <w:r>
        <w:rPr>
          <w:rFonts w:ascii="Times New Roman" w:hAnsi="Times New Roman" w:eastAsia="Times New Roman" w:cs="Times New Roman"/>
          <w:b/>
          <w:i w:val="0"/>
          <w:color w:val="000000"/>
          <w:sz w:val="25"/>
        </w:rPr>
        <w:t>6. Проценты со дня ДТП начислены без правового основания</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Истец начислил проценты по статье 395 ГК РФ с 29 октября 2023 г., то есть со дня ДТП. Однако до определения судом размера возмещения у ответчика отсутствовало денежное обязательство в заявленной истцом сумме и не наступила просрочка его исполнения.</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Согласно пункту 57 постановления Пленума Верховного Суда Российской Федерации от 24 марта 2016 г. № 7 проценты за пользование чужими денежными средствами по обязательству из причинения вреда начисляются со дня вступления в законную силу решения суда, которым определена обязанность возместить вред, если иной момент не установлен законом. Поэтому требование о процентах за период до вступления решения в законную силу удовлетворению не подлежит.</w:t>
      </w:r>
    </w:p>
    <w:p>
      <w:pPr>
        <w:pStyle w:val="Heading1"/>
        <w:keepNext/>
        <w:keepLines/>
        <w:spacing w:before="180" w:after="80"/>
        <w:jc w:val="left"/>
      </w:pPr>
      <w:r>
        <w:rPr>
          <w:rFonts w:ascii="Times New Roman" w:hAnsi="Times New Roman" w:eastAsia="Times New Roman" w:cs="Times New Roman"/>
          <w:b/>
          <w:i w:val="0"/>
          <w:color w:val="000000"/>
          <w:sz w:val="25"/>
        </w:rPr>
        <w:t>7. Судебные расходы подлежат проверке и соразмерному распределению</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Расходы на заключение могут быть взысканы только при подтверждении их оплаты, связи с рассмотрением дела и необходимости для защиты нарушенного права. Расходы на представителя возмещаются в разумных пределах с учётом сложности дела, объёма выполненной работы и результата рассмотрения спора. Почтовые расходы также должны подтверждаться документами, позволяющими установить отправителя, адресата и содержание отправления. При частичном удовлетворении иска расходы распределяются пропорционально удовлетворённым требованиям по правилам статей 98 и 100 ГПК РФ.</w:t>
      </w:r>
    </w:p>
    <w:p>
      <w:pPr>
        <w:pStyle w:val="Heading1"/>
        <w:keepNext/>
        <w:keepLines/>
        <w:spacing w:before="180" w:after="80"/>
        <w:jc w:val="left"/>
      </w:pPr>
      <w:r>
        <w:rPr>
          <w:rFonts w:ascii="Times New Roman" w:hAnsi="Times New Roman" w:eastAsia="Times New Roman" w:cs="Times New Roman"/>
          <w:b/>
          <w:i w:val="0"/>
          <w:color w:val="000000"/>
          <w:sz w:val="25"/>
        </w:rPr>
        <w:t>Просительная часть</w:t>
      </w:r>
    </w:p>
    <w:p>
      <w:pPr>
        <w:keepLines w:val="0"/>
        <w:widowControl/>
        <w:spacing w:line="276" w:lineRule="auto" w:after="100" w:before="0"/>
        <w:jc w:val="both"/>
      </w:pPr>
      <w:r>
        <w:rPr>
          <w:rFonts w:ascii="Times New Roman" w:hAnsi="Times New Roman" w:eastAsia="Times New Roman" w:cs="Times New Roman"/>
          <w:b w:val="0"/>
          <w:i w:val="0"/>
          <w:color w:val="000000"/>
          <w:sz w:val="24"/>
        </w:rPr>
        <w:t>На основании изложенного, руководствуясь статьями 15, 395, 1064 и 1072 ГК РФ, статьями 56, 67, 79, 98 и 100 ГПК РФ, прошу суд:</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1. </w:t>
      </w:r>
      <w:r>
        <w:rPr>
          <w:rFonts w:ascii="Times New Roman" w:hAnsi="Times New Roman" w:eastAsia="Times New Roman" w:cs="Times New Roman"/>
          <w:b w:val="0"/>
          <w:i w:val="0"/>
          <w:color w:val="000000"/>
          <w:sz w:val="24"/>
        </w:rPr>
        <w:t>Приобщить настоящие письменные возражения к материалам дела.</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2. </w:t>
      </w:r>
      <w:r>
        <w:rPr>
          <w:rFonts w:ascii="Times New Roman" w:hAnsi="Times New Roman" w:eastAsia="Times New Roman" w:cs="Times New Roman"/>
          <w:b w:val="0"/>
          <w:i w:val="0"/>
          <w:color w:val="000000"/>
          <w:sz w:val="24"/>
        </w:rPr>
        <w:t>Предложить истцу представить доказательства фактического повреждения и причинной связи по каждой из десяти позиций акта осмотра транспортного средства от 30 октября 2023 г., включая первичные фотографии с датой и исходными метаданными, фотографии после снятия бампера, фонарей и обшивок, акт скрытых повреждений, материалы дефектовки, измерения геометрии, сведения о характере и давности следов, описание плёнки на крышке багажника и заднем бампере, а также имеющиеся документы о состоянии и ремонте тех же элементов задней части автомобиля до ДТП.</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3. </w:t>
      </w:r>
      <w:r>
        <w:rPr>
          <w:rFonts w:ascii="Times New Roman" w:hAnsi="Times New Roman" w:eastAsia="Times New Roman" w:cs="Times New Roman"/>
          <w:b w:val="0"/>
          <w:i w:val="0"/>
          <w:color w:val="000000"/>
          <w:sz w:val="24"/>
        </w:rPr>
        <w:t>Истребовать полный комплект материалов, использованных при подготовке заключения № М331ЕН797 от 7 августа 2026 г., включая все страницы расчёта, исходные фотографии, акт осмотра, документы о разборке, технологические карты, сведения об источниках цен и нормативах работ, а также объяснение одновременного включения окраски и плёнки для заменяемых деталей.</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4. </w:t>
      </w:r>
      <w:r>
        <w:rPr>
          <w:rFonts w:ascii="Times New Roman" w:hAnsi="Times New Roman" w:eastAsia="Times New Roman" w:cs="Times New Roman"/>
          <w:b w:val="0"/>
          <w:i w:val="0"/>
          <w:color w:val="000000"/>
          <w:sz w:val="24"/>
        </w:rPr>
        <w:t>Установить, обращался ли потерпевший за страховым возмещением по полису ОСАГО серии ТТТ № 7043868396, и применить последствия, предусмотренные пунктом 114 постановления Пленума Верховного Суда Российской Федерации от 8 ноября 2022 г. № 31; при необходимости разрешить вопрос о привлечении страховщика к участию в деле.</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5. </w:t>
      </w:r>
      <w:r>
        <w:rPr>
          <w:rFonts w:ascii="Times New Roman" w:hAnsi="Times New Roman" w:eastAsia="Times New Roman" w:cs="Times New Roman"/>
          <w:b w:val="0"/>
          <w:i w:val="0"/>
          <w:color w:val="000000"/>
          <w:sz w:val="24"/>
        </w:rPr>
        <w:t>Истребовать страховой акт от 11 ноября 2023 г., соглашение от 20 ноября 2023 г., документы о фактической выплате 57 100 руб. по договору КАСКО и сведения о переходе права требования к страховщику.</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6. </w:t>
      </w:r>
      <w:r>
        <w:rPr>
          <w:rFonts w:ascii="Times New Roman" w:hAnsi="Times New Roman" w:eastAsia="Times New Roman" w:cs="Times New Roman"/>
          <w:b w:val="0"/>
          <w:i w:val="0"/>
          <w:color w:val="000000"/>
          <w:sz w:val="24"/>
        </w:rPr>
        <w:t>Если после представления указанных документов сохранятся вопросы, требующие специальных знаний, назначить судебную автотехническую и автотовароведческую экспертизу.</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7. </w:t>
      </w:r>
      <w:r>
        <w:rPr>
          <w:rFonts w:ascii="Times New Roman" w:hAnsi="Times New Roman" w:eastAsia="Times New Roman" w:cs="Times New Roman"/>
          <w:b w:val="0"/>
          <w:i w:val="0"/>
          <w:color w:val="000000"/>
          <w:sz w:val="24"/>
        </w:rPr>
        <w:t>В удовлетворении иска отказать в недоказанной части; при наличии оснований определить ответственность ответчика только в пределах документально подтверждённой разницы между фактическим ущербом от данного ДТП и надлежащим страховым возмещением.</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8. </w:t>
      </w:r>
      <w:r>
        <w:rPr>
          <w:rFonts w:ascii="Times New Roman" w:hAnsi="Times New Roman" w:eastAsia="Times New Roman" w:cs="Times New Roman"/>
          <w:b w:val="0"/>
          <w:i w:val="0"/>
          <w:color w:val="000000"/>
          <w:sz w:val="24"/>
        </w:rPr>
        <w:t>Отказать во взыскании процентов по статье 395 ГК РФ за период до вступления решения суда в законную силу.</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9. </w:t>
      </w:r>
      <w:r>
        <w:rPr>
          <w:rFonts w:ascii="Times New Roman" w:hAnsi="Times New Roman" w:eastAsia="Times New Roman" w:cs="Times New Roman"/>
          <w:b w:val="0"/>
          <w:i w:val="0"/>
          <w:color w:val="000000"/>
          <w:sz w:val="24"/>
        </w:rPr>
        <w:t>Судебные расходы взыскать только в подтверждённом и разумном размере, пропорционально удовлетворённой части требований.</w:t>
      </w:r>
    </w:p>
    <w:p>
      <w:pPr>
        <w:pStyle w:val="Heading1"/>
        <w:keepNext/>
        <w:keepLines/>
        <w:spacing w:before="100" w:after="40"/>
        <w:jc w:val="left"/>
      </w:pPr>
      <w:r>
        <w:rPr>
          <w:rFonts w:ascii="Times New Roman" w:hAnsi="Times New Roman" w:eastAsia="Times New Roman" w:cs="Times New Roman"/>
          <w:b/>
          <w:i w:val="0"/>
          <w:color w:val="000000"/>
          <w:sz w:val="25"/>
        </w:rPr>
        <w:t>Вопросы для судебной экспертизы</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1. </w:t>
      </w:r>
      <w:r>
        <w:rPr>
          <w:rFonts w:ascii="Times New Roman" w:hAnsi="Times New Roman" w:eastAsia="Times New Roman" w:cs="Times New Roman"/>
          <w:b w:val="0"/>
          <w:i w:val="0"/>
          <w:color w:val="000000"/>
          <w:sz w:val="22"/>
        </w:rPr>
        <w:t>Какие из повреждений, указанных в десяти строках акта осмотра транспортного средства от 30 октября 2023 г., могли образоваться при обстоятельствах ДТП 29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2. </w:t>
      </w:r>
      <w:r>
        <w:rPr>
          <w:rFonts w:ascii="Times New Roman" w:hAnsi="Times New Roman" w:eastAsia="Times New Roman" w:cs="Times New Roman"/>
          <w:b w:val="0"/>
          <w:i w:val="0"/>
          <w:color w:val="000000"/>
          <w:sz w:val="22"/>
        </w:rPr>
        <w:t>Какие объективные признаки позволяют определить, что каждое скрытое повреждение возникло именно в данном ДТП, а не существовало ранее; достаточно ли представленных материалов для такого вывода?</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3. </w:t>
      </w:r>
      <w:r>
        <w:rPr>
          <w:rFonts w:ascii="Times New Roman" w:hAnsi="Times New Roman" w:eastAsia="Times New Roman" w:cs="Times New Roman"/>
          <w:b w:val="0"/>
          <w:i w:val="0"/>
          <w:color w:val="000000"/>
          <w:sz w:val="22"/>
        </w:rPr>
        <w:t>Какой способ восстановительного ремонта технически необходим для каждого повреждения, относящегося к данному ДТП, и почему локальный ремонт возможен либо невозможен?</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4. </w:t>
      </w:r>
      <w:r>
        <w:rPr>
          <w:rFonts w:ascii="Times New Roman" w:hAnsi="Times New Roman" w:eastAsia="Times New Roman" w:cs="Times New Roman"/>
          <w:b w:val="0"/>
          <w:i w:val="0"/>
          <w:color w:val="000000"/>
          <w:sz w:val="22"/>
        </w:rPr>
        <w:t>Подлежала ли крышка багажника ремонту либо требовала замены; какие конкретные признаки определяют этот вывод?</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5. </w:t>
      </w:r>
      <w:r>
        <w:rPr>
          <w:rFonts w:ascii="Times New Roman" w:hAnsi="Times New Roman" w:eastAsia="Times New Roman" w:cs="Times New Roman"/>
          <w:b w:val="0"/>
          <w:i w:val="0"/>
          <w:color w:val="000000"/>
          <w:sz w:val="22"/>
        </w:rPr>
        <w:t>Подтверждены ли необходимость замены и окраски облицовки заднего бампера, замены плёнки на крышке багажника и бампере, а также одновременное выполнение окраски и оклейки; каков технически необходимый объём этих работ?</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6. </w:t>
      </w:r>
      <w:r>
        <w:rPr>
          <w:rFonts w:ascii="Times New Roman" w:hAnsi="Times New Roman" w:eastAsia="Times New Roman" w:cs="Times New Roman"/>
          <w:b w:val="0"/>
          <w:i w:val="0"/>
          <w:color w:val="000000"/>
          <w:sz w:val="22"/>
        </w:rPr>
        <w:t>Какова стоимость технически обоснованного восстановительного ремонта только тех повреждений, которые причинены данным ДТП, без учёта и с учётом износа на юридически значимую дату?</w:t>
      </w:r>
    </w:p>
    <w:p>
      <w:pPr>
        <w:pStyle w:val="Heading1"/>
        <w:keepNext/>
        <w:keepLines/>
        <w:spacing w:before="100" w:after="40"/>
        <w:jc w:val="left"/>
      </w:pPr>
      <w:r>
        <w:rPr>
          <w:rFonts w:ascii="Times New Roman" w:hAnsi="Times New Roman" w:eastAsia="Times New Roman" w:cs="Times New Roman"/>
          <w:b/>
          <w:i w:val="0"/>
          <w:color w:val="000000"/>
          <w:sz w:val="25"/>
        </w:rPr>
        <w:t>Приложения</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1. </w:t>
      </w:r>
      <w:r>
        <w:rPr>
          <w:rFonts w:ascii="Times New Roman" w:hAnsi="Times New Roman" w:eastAsia="Times New Roman" w:cs="Times New Roman"/>
          <w:b w:val="0"/>
          <w:i w:val="0"/>
          <w:color w:val="000000"/>
          <w:sz w:val="20"/>
        </w:rPr>
        <w:t>Копия электронного извещения о ДТП от 29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2. </w:t>
      </w:r>
      <w:r>
        <w:rPr>
          <w:rFonts w:ascii="Times New Roman" w:hAnsi="Times New Roman" w:eastAsia="Times New Roman" w:cs="Times New Roman"/>
          <w:b w:val="0"/>
          <w:i w:val="0"/>
          <w:color w:val="000000"/>
          <w:sz w:val="20"/>
        </w:rPr>
        <w:t>Копия акта осмотра транспортного средства от 30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3. </w:t>
      </w:r>
      <w:r>
        <w:rPr>
          <w:rFonts w:ascii="Times New Roman" w:hAnsi="Times New Roman" w:eastAsia="Times New Roman" w:cs="Times New Roman"/>
          <w:b w:val="0"/>
          <w:i w:val="0"/>
          <w:color w:val="000000"/>
          <w:sz w:val="20"/>
        </w:rPr>
        <w:t>Копии фотографий автомобиля Volkswagen Polo после ДТП от 29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4. </w:t>
      </w:r>
      <w:r>
        <w:rPr>
          <w:rFonts w:ascii="Times New Roman" w:hAnsi="Times New Roman" w:eastAsia="Times New Roman" w:cs="Times New Roman"/>
          <w:b w:val="0"/>
          <w:i w:val="0"/>
          <w:color w:val="000000"/>
          <w:sz w:val="20"/>
        </w:rPr>
        <w:t>Копии относящихся к спору страниц заключения № М331ЕН797 от 7 августа 2026 г. и расчёта восстановительного ремонта.</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5. </w:t>
      </w:r>
      <w:r>
        <w:rPr>
          <w:rFonts w:ascii="Times New Roman" w:hAnsi="Times New Roman" w:eastAsia="Times New Roman" w:cs="Times New Roman"/>
          <w:b w:val="0"/>
          <w:i w:val="0"/>
          <w:color w:val="000000"/>
          <w:sz w:val="20"/>
        </w:rPr>
        <w:t>Копия заявления на выплату страхового возмещения по договору КАСКО № 65/22-04(7)-000217 от 8 ноября 2023 г.</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6. </w:t>
      </w:r>
      <w:r>
        <w:rPr>
          <w:rFonts w:ascii="Times New Roman" w:hAnsi="Times New Roman" w:eastAsia="Times New Roman" w:cs="Times New Roman"/>
          <w:b w:val="0"/>
          <w:i w:val="0"/>
          <w:color w:val="000000"/>
          <w:sz w:val="20"/>
        </w:rPr>
        <w:t>Копия платёжного поручения № 065/23-04-001505/01/07 от 20 ноября 2023 г.</w:t>
      </w:r>
    </w:p>
    <w:p>
      <w:pPr>
        <w:widowControl/>
        <w:spacing w:line="240" w:lineRule="auto" w:after="20"/>
        <w:ind w:left="369" w:hanging="369"/>
        <w:jc w:val="both"/>
      </w:pPr>
      <w:r>
        <w:rPr>
          <w:rFonts w:ascii="Times New Roman" w:hAnsi="Times New Roman" w:eastAsia="Times New Roman" w:cs="Times New Roman"/>
          <w:b/>
          <w:i w:val="0"/>
          <w:color w:val="000000"/>
          <w:sz w:val="20"/>
        </w:rPr>
        <w:t xml:space="preserve">7. </w:t>
      </w:r>
      <w:r>
        <w:rPr>
          <w:rFonts w:ascii="Times New Roman" w:hAnsi="Times New Roman" w:eastAsia="Times New Roman" w:cs="Times New Roman"/>
          <w:b w:val="0"/>
          <w:i w:val="0"/>
          <w:color w:val="000000"/>
          <w:sz w:val="20"/>
        </w:rPr>
        <w:t>Подтверждения направления возражений и приложений лицам, участвующим в деле.</w:t>
      </w:r>
    </w:p>
    <w:tbl>
      <w:tblPr>
        <w:tblW w:type="auto" w:w="0"/>
        <w:jc w:val="center"/>
        <w:tblLayout w:type="fixed"/>
        <w:tblLook w:firstColumn="1" w:firstRow="1" w:lastColumn="0" w:lastRow="0" w:noHBand="0" w:noVBand="1" w:val="04A0"/>
      </w:tblPr>
      <w:tblGrid>
        <w:gridCol w:w="3213"/>
        <w:gridCol w:w="3213"/>
        <w:gridCol w:w="3213"/>
      </w:tblGrid>
      <w:tr>
        <w:tc>
          <w:tcPr>
            <w:tcW w:type="dxa" w:w="2948"/>
            <w:tcMar>
              <w:top w:w="0" w:type="dxa"/>
              <w:start w:w="0" w:type="dxa"/>
              <w:bottom w:w="0" w:type="dxa"/>
              <w:end w:w="0" w:type="dxa"/>
            </w:tcMar>
            <w:tcBorders>
              <w:top w:val="nil"/>
              <w:left w:val="nil"/>
              <w:bottom w:val="nil"/>
              <w:right w:val="nil"/>
            </w:tcBorders>
            <w:vAlign w:val="bottom"/>
          </w:tcPr>
          <w:p>
            <w:pPr>
              <w:spacing w:after="0" w:before="0" w:line="240" w:lineRule="auto"/>
              <w:jc w:val="left"/>
            </w:pPr>
            <w:r>
              <w:rPr>
                <w:rFonts w:ascii="Times New Roman" w:hAnsi="Times New Roman" w:eastAsia="Times New Roman" w:cs="Times New Roman"/>
                <w:b w:val="0"/>
                <w:i w:val="0"/>
                <w:color w:val="000000"/>
                <w:sz w:val="21"/>
              </w:rPr>
              <w:t>22 октября 2026 г.</w:t>
            </w:r>
          </w:p>
        </w:tc>
        <w:tc>
          <w:tcPr>
            <w:tcW w:type="dxa" w:w="2268"/>
            <w:tcMar>
              <w:top w:w="0" w:type="dxa"/>
              <w:start w:w="0" w:type="dxa"/>
              <w:bottom w:w="0" w:type="dxa"/>
              <w:end w:w="0" w:type="dxa"/>
            </w:tcMar>
            <w:tcBorders>
              <w:top w:val="nil"/>
              <w:left w:val="nil"/>
              <w:bottom w:val="nil"/>
              <w:right w:val="nil"/>
            </w:tcBorders>
            <w:vAlign w:val="bottom"/>
          </w:tcPr>
          <w:p>
            <w:pPr>
              <w:spacing w:after="0" w:before="0" w:line="240" w:lineRule="auto"/>
              <w:jc w:val="center"/>
            </w:pPr>
            <w:r>
              <w:rPr>
                <w:rFonts w:ascii="Times New Roman" w:hAnsi="Times New Roman" w:eastAsia="Times New Roman" w:cs="Times New Roman"/>
                <w:b w:val="0"/>
                <w:i w:val="0"/>
                <w:color w:val="000000"/>
                <w:sz w:val="21"/>
              </w:rPr>
              <w:t>________________</w:t>
            </w:r>
          </w:p>
        </w:tc>
        <w:tc>
          <w:tcPr>
            <w:tcW w:type="dxa" w:w="3402"/>
            <w:tcMar>
              <w:top w:w="0" w:type="dxa"/>
              <w:start w:w="0" w:type="dxa"/>
              <w:bottom w:w="0" w:type="dxa"/>
              <w:end w:w="0" w:type="dxa"/>
            </w:tcMar>
            <w:tcBorders>
              <w:top w:val="nil"/>
              <w:left w:val="nil"/>
              <w:bottom w:val="nil"/>
              <w:right w:val="nil"/>
            </w:tcBorders>
            <w:vAlign w:val="bottom"/>
          </w:tcPr>
          <w:p>
            <w:pPr>
              <w:spacing w:after="0" w:before="0" w:line="240" w:lineRule="auto"/>
              <w:jc w:val="right"/>
            </w:pPr>
            <w:r>
              <w:rPr>
                <w:rFonts w:ascii="Times New Roman" w:hAnsi="Times New Roman" w:eastAsia="Times New Roman" w:cs="Times New Roman"/>
                <w:b w:val="0"/>
                <w:i w:val="0"/>
                <w:color w:val="000000"/>
                <w:sz w:val="21"/>
              </w:rPr>
              <w:t>М. В. Димитриева</w:t>
            </w:r>
          </w:p>
        </w:tc>
      </w:tr>
    </w:tbl>
    <w:sectPr w:rsidR="00FC693F" w:rsidRPr="0006063C" w:rsidSect="00034616">
      <w:footerReference w:type="default" r:id="rId9"/>
      <w:pgSz w:w="11906" w:h="16838"/>
      <w:pgMar w:top="907" w:right="850" w:bottom="850" w:left="141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Письменные возражения ответчика по делу № 02-5004/2026</dc:title>
  <dc:subject>Возражения на иск ООО «ВИГОРАВТО» о возмещении ущерба от ДТП</dc:subject>
  <dc:creator>Димитриева Марина Владимировна</dc:creator>
  <cp:keywords>возражения, ДТП, ущерб, ОСАГО, КАСКО</cp:keywords>
  <dc:description>Полная техническая редакция с возражениями по всем десяти позициям акта осмотра</dc:description>
  <cp:lastModifiedBy/>
  <cp:revision>1</cp:revision>
  <dcterms:created xsi:type="dcterms:W3CDTF">2013-12-23T23:15:00Z</dcterms:created>
  <dcterms:modified xsi:type="dcterms:W3CDTF">2013-12-23T23:15:00Z</dcterms:modified>
  <cp:category/>
</cp:coreProperties>
</file>