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В Тимирязевский районный суд г. Москвы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Дело № 02-5004/2026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Истец: ООО «ВИГОРАВТО»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Димитриева Марина Владимировна</w:t>
      </w:r>
    </w:p>
    <w:p>
      <w:pPr>
        <w:pStyle w:val="Title"/>
        <w:spacing w:before="20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0"/>
        </w:rPr>
        <w:t>ПИСЬМЕННАЯ ПОЗИЦИЯ ОТВЕТЧИКА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 гражданскому делу о взыскании ущерба, процентов и судебных расходов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I. Недоказанность причинной связи и объёма заявленных повреждений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признаёт факт ДТП 29.10.2023 и признаёт только наличие в первичной фиксации записи «крышка багажника». Ответчик не утверждает, что скрытые повреждения невозможны.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 позиции «крышка багажника» не признаются: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необходимость замены;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невозможность ремонта;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стоимость крышки;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окраска;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плёнка;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сопутствующие работы;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конкретная сумма ущерба по этой позиции.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Оспаривается доказанность того, что весь последующий перечень из десяти позиций акта 30.10.2023, включая скрытые и конструктивные элементы, возник именно в результате данного ДТП, а также доказанность необходимости указанных способов ремонта и замены.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не утверждает наличие другого ДТП и поэтому не обязан доказывать иное событие. Истец утверждает, что конкретные десять повреждений причинены ДТП 29.10.2023. Следовательно, доказательственная связь этих повреждений с указанным событием входит в основание его требования.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 акта осмотра от 30.10.2023 нет самостоятельной презумпции достоверности по признаку составления «по горячим следам».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соответствии с ч. 2 ст. 67 ГПК РФ никакие доказательства не имеют для суда заранее установленной силы.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История иных ДТП и страховых событий как исходный материал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не утверждает, что спорные повреждения возникли в другом ДТП.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об иных ДТП и страховых событиях нужны для: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исключения повреждений, существовавших до 29.10.2023;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установления возможных повреждающих событий после 29.10.2023;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оценки состояния спорных элементов между ДТП и заключением от 07.08.2026;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предоставления судебному эксперту полной истории повреждений, необходимой для ответа о причинной связи каждой из десяти позиций.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Проверяемые периоды: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A. До 29.10.2023 - для установления возможных ранее существовавших повреждений задней части автомобиля.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B. С 29.10.2023 по 07.08.2026 - для установления последующих ДТП или страховых событий до составления заключения Левинского.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Задача состоит в том, чтобы проверить наличие либо отсутствие иных повреждающих событий как одного из исходных факторов экспертного исследования причинной связи. Отсутствие иных событий также является значимым результатом проверки.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после истребования первичных материалов, исследования страховых дел, получения сведений об иных страховых событиях и заслушивания лиц, проводивших осмотр и составлявших заключение 2026 года, технические противоречия не будут устранены, ответчик считает необходимым разрешить их посредством судебной автотехнической и/или автотовароведческой экспертизы.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сначала просит получить первичные доказательства, которые находятся не у ответчика: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 АО ГСК «Югория»;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 АО «Зетта Страхование»;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 оператора электронного европротокола;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 государственных и страховых информационных систем;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 истца.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Только после исследования этих материалов можно определить, нужна ли судебная экспертиза вообще и какие вопросы реально требуют специальных знаний. Отсутствие у ответчика денежных средств на экспертизу до получения первичных доказательств не является признанием обоснованности иска.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II. Даже при признании причинной связи по крышке багажника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Даже если суд признает причинную связь непосредственно по крышке багажника, это не означает признания полного расчёта по данной позиции.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Истец должен отдельно доказать: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какое конкретное повреждение крышки обозначено как дефект 21К;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требуется именно замена, а не восстановление крышки;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почему ремонт невозможен либо не является разумным способом восстановления;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необходимость и объём окраски;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необходимость каждой сопутствующей работы: снятия, установки, подготовки и иных операций;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необходимость окрасочных материалов;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какая именно плёнка указана в акте;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эта плёнка существовала на крышке на момент ДТП и была повреждена;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стоимость каждой операции и материала отдельно.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Резервная позиция не объединяет эти элементы в одну сумму. До построчной проверки расчёта 2026 года каждая позиция остаётся недоказанной.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III. Обстоятельства, которые ответчик не оспаривает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не оспаривает: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факт дорожно-транспортного происшествия 29.10.2023;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участие автомобилей сторон в этом ДТП;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математическую арифметику итогового расчёта 2026 года;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факт оплаты 25 000 руб. за экспертное исследование;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факт оплаты 50 000 руб. юридических услуг;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факт оплаты государственной пошлины 8 588 руб.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Признание этих обстоятельств не означает признания размера причинённого ущерба, причинной связи всех заявленных повреждений с ДТП или обоснованности процентов.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IV. Предмет спора и документальная цепочка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не оспаривает арифметическое сложение стоимости работ и деталей в расчёте 2026 года. Спор касается исходных фактических предпосылок: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повреждения действительно образовались 29.10.2023;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из десяти позиций первоначально фиксировались;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каким образом выявлялись скрытые и конструктивные повреждения;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первичные фотографии и документы дефектовки существуют;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какую фактическую основу использовал автор заключения 2026 года;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 соотносятся сумма, определённая к выплате по КАСКО, страховое урегулирование ОСАГО и возможная суброгация;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 какого момента и на какую сумму могут начисляться проценты.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Документальная цепочка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29.10.2023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↓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электронное извещение о ДТП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↓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среди первоначально указанных видимых повреждений автомобиля истца указана «Крышка багажника»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↓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30.10.2023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↓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акт осмотра содержит 10 позиций повреждений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↓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2026 год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↓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заключение определяет стоимость восстановительного ремонта 227 490,87 руб.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↓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заключение прямо использует акт осмотра от 30.10.2023 как основу определения стоимости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не утверждает, что девять дополнительных позиций появились после ДТП. В документальной фиксации на следующий день перечень расширился с одной первоначально указанной позиции до десяти. Происхождение дополнительных позиций требует первичного технического подтверждения.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V. Десять позиций акта осмотра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 w:val="true"/>
        </w:trPr>
        <w:tc>
          <w:tcPr>
            <w:tcW w:type="dxa" w:w="51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24D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5"/>
              </w:rPr>
              <w:t>№</w:t>
            </w:r>
          </w:p>
        </w:tc>
        <w:tc>
          <w:tcPr>
            <w:tcW w:type="dxa" w:w="16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24D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5"/>
              </w:rPr>
              <w:t>Позиция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24D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5"/>
              </w:rPr>
              <w:t>Указана в первоначальном извещении</w:t>
            </w:r>
          </w:p>
        </w:tc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24D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5"/>
              </w:rPr>
              <w:t>Видна на ДТП-фотографиях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24D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5"/>
              </w:rPr>
              <w:t>Тип элемента</w:t>
            </w:r>
          </w:p>
        </w:tc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24D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5"/>
              </w:rPr>
              <w:t>Необходимое подтверждение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24D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5"/>
              </w:rPr>
              <w:t>Как перенесена в расчёт 2026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1</w:t>
            </w:r>
          </w:p>
        </w:tc>
        <w:tc>
          <w:tcPr>
            <w:tcW w:type="dxa" w:w="16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Крышка багажника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Да</w:t>
            </w:r>
          </w:p>
        </w:tc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Видна; очевидная крупная деформация не просматривается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Наружный</w:t>
            </w:r>
          </w:p>
        </w:tc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Оригинальное фото высокого качества, расшифровка 21К, обоснование необходимости замены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Включена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2</w:t>
            </w:r>
          </w:p>
        </w:tc>
        <w:tc>
          <w:tcPr>
            <w:tcW w:type="dxa" w:w="16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Плёнка крышки багажника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Нет отдельной позиции</w:t>
            </w:r>
          </w:p>
        </w:tc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Оклейка видна на бампере; на крышке отдельная плёнка не идентифицируется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Наружный плёночный элемент</w:t>
            </w:r>
          </w:p>
        </w:tc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Макрофото, подтверждение наличия плёнки на крышке и расшифровка Р.М.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Включена - 1 500 руб.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3</w:t>
            </w:r>
          </w:p>
        </w:tc>
        <w:tc>
          <w:tcPr>
            <w:tcW w:type="dxa" w:w="16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Обшивка замка крышки багажника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Нет</w:t>
            </w:r>
          </w:p>
        </w:tc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по наружным фотографиям с места ДТП состояние элемента оценить невозможно; требуется первичная фиксация после разборки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Внутренняя обшивка</w:t>
            </w:r>
          </w:p>
        </w:tc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Фото обшивки и замка, первичная дефектовка, объяснение перехода от обшивки к механизму замка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Включён замок 6RU827505C стоимостью 8 760,67 руб.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4</w:t>
            </w:r>
          </w:p>
        </w:tc>
        <w:tc>
          <w:tcPr>
            <w:tcW w:type="dxa" w:w="16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Задний бампер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Нет</w:t>
            </w:r>
          </w:p>
        </w:tc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Виден; очевидная крупная деформация не просматривается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Наружный</w:t>
            </w:r>
          </w:p>
        </w:tc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Качественное фото, расшифровка Р.М., обоснование замены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Включён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5</w:t>
            </w:r>
          </w:p>
        </w:tc>
        <w:tc>
          <w:tcPr>
            <w:tcW w:type="dxa" w:w="16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Плёнка заднего бампера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Нет</w:t>
            </w:r>
          </w:p>
        </w:tc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Качество снимков недостаточно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Наружный плёночный элемент</w:t>
            </w:r>
          </w:p>
        </w:tc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Макрофото и расшифровка Р.М.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Включена - 2 500 руб.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6</w:t>
            </w:r>
          </w:p>
        </w:tc>
        <w:tc>
          <w:tcPr>
            <w:tcW w:type="dxa" w:w="16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Отражатель заднего бампера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Нет</w:t>
            </w:r>
          </w:p>
        </w:tc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Нижняя зона видна нечётко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Наружный</w:t>
            </w:r>
          </w:p>
        </w:tc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Макрофото отражателя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Включён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7</w:t>
            </w:r>
          </w:p>
        </w:tc>
        <w:tc>
          <w:tcPr>
            <w:tcW w:type="dxa" w:w="16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Крепление заднего бампера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Нет</w:t>
            </w:r>
          </w:p>
        </w:tc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по наружным фотографиям с места ДТП состояние элемента оценить невозможно; требуется первичная фиксация после разборки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Скрытый</w:t>
            </w:r>
          </w:p>
        </w:tc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Фото после частичной разборки и первичная дефектовка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Включено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8</w:t>
            </w:r>
          </w:p>
        </w:tc>
        <w:tc>
          <w:tcPr>
            <w:tcW w:type="dxa" w:w="16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Кронштейн заднего фонаря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Нет</w:t>
            </w:r>
          </w:p>
        </w:tc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по наружным фотографиям с места ДТП состояние элемента оценить невозможно; требуется первичная фиксация после разборки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Скрытый</w:t>
            </w:r>
          </w:p>
        </w:tc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Фото после снятия фонаря и первичная дефектовка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Включён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9</w:t>
            </w:r>
          </w:p>
        </w:tc>
        <w:tc>
          <w:tcPr>
            <w:tcW w:type="dxa" w:w="16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Усилитель панели задка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Нет</w:t>
            </w:r>
          </w:p>
        </w:tc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по наружным фотографиям с места ДТП состояние элемента оценить невозможно; требуется первичная фиксация после разборки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Скрытый силовой</w:t>
            </w:r>
          </w:p>
        </w:tc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Фото после разборки, дефектовка, расшифровка ИРЖ и ремонт 3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Включён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10</w:t>
            </w:r>
          </w:p>
        </w:tc>
        <w:tc>
          <w:tcPr>
            <w:tcW w:type="dxa" w:w="16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Панель задка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Нет</w:t>
            </w:r>
          </w:p>
        </w:tc>
        <w:tc>
          <w:tcPr>
            <w:tcW w:type="dxa" w:w="19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по наружным фотографиям с места ДТП состояние элемента оценить невозможно; требуется первичная фиксация после разборки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Скрытый конструктивный</w:t>
            </w:r>
          </w:p>
        </w:tc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Фото скрытой зоны и первичная дефектовка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EF3F7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5"/>
              </w:rPr>
              <w:t>Включена</w:t>
            </w:r>
          </w:p>
        </w:tc>
      </w:tr>
    </w:tbl>
    <w:p>
      <w:pPr>
        <w:spacing w:after="0"/>
      </w:pP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Отсутствие повреждений по строкам 7-10 ответчик не утверждает. По этим строкам требуется первичное техническое подтверждение.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VI. Первичная фиксация дефектовки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изученном ответчиком комплекте отсутствуют фотографии осмотра или дефектовки от 30.10.2023. Наличие таких фотографий у страховщика не исключается.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самостоятельно пытался получить эти материалы. 20.10.2026 АО ГСК «Югория» отказало в предоставлении результатов осмотра и НТЭ по выплатному делу № 065/23-04-001505 со ссылкой на отсутствие у М.В. Димитриевой статуса потерпевшего.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Таким образом, фотографии осмотра и дефектовки не представлены в изученном комплекте и не предоставлены страховщиком ответчику.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VII. Как были выявлены скрытые повреждения?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Для позиций: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крепление заднего бампера;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кронштейн заднего фонаря;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усилитель панели задка;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панель задка;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необходимо установить: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проводилась ли разборка автомобиля;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кто её проводил;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когда она проводилась;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элементы снимались;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имеются ли фотографии до разборки, в процессе и после;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составлялся ли дополнительный акт скрытых повреждений;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существуют ли заказ-наряды или акты дефектовки.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Акт указывает период осмотра 11:00–11:30. Сам по себе 30-минутный период не доказывает невозможность выявления скрытых повреждений. Однако в изученном комплекте отсутствуют сведения о снятии бампера, фонарей, обшивок, иной разборке и фотофиксации скрытых элементов. Поэтому необходимо установить метод выявления позиций 7–10.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VIII. Фактическая основа заключения 2026 года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оригинале заключения указано:</w:t>
      </w:r>
    </w:p>
    <w:p>
      <w:pPr>
        <w:spacing w:before="60" w:after="100"/>
        <w:ind w:left="680" w:right="397" w:firstLine="0"/>
      </w:pPr>
      <w:r>
        <w:rPr>
          <w:rFonts w:ascii="Times New Roman" w:hAnsi="Times New Roman" w:cs="Times New Roman" w:eastAsia="Times New Roman"/>
          <w:b w:val="0"/>
          <w:i/>
          <w:color w:val="000000"/>
          <w:sz w:val="22"/>
        </w:rPr>
        <w:t>«В основу определения стоимости восстановительного ремонта положен Акт осмотра транспортного средства от 30 октября 2023 года.»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Источник: оригинал заключения 2026 года.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Из этого следует строго ограниченный вывод: заключение 2026 года прямо использует перечень повреждений акта от 30.10.2023 как исходную основу для определения стоимости. Поэтому само наличие последующей калькуляции не устраняет необходимость проверки первичной доказательственной основы включённых в акт повреждений.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Из имеющихся материалов пока не установлено, проводил ли автор заключения самостоятельный натурный осмотр автомобиля и самостоятельно ли устанавливал причинную связь каждой позиции с ДТП 29.10.2023. Наличие самостоятельного натурного исследования требует выяснения.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IX. Необходимость замены крышки багажника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акте осмотра от 30.10.2023 по крышке багажника указано «деф 21К, замена и окраска». Сама запись не раскрывает характер и объём деформации и не объясняет, почему восстановление крышки невозможно или технически нецелесообразно.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Истец должен отдельно доказать: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какое именно повреждение крышки обозначено как дефект 21К;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требуется именно замена, а не ремонт;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почему ремонт технически невозможен или не является разумным способом восстановления;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какой объём окраски действительно необходим;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какова стоимость восстановления без замены крышки.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Пока необходимость замены самой крышки не доказана, расчёт, основанный на её замене, нельзя считать подтверждённым в этой части.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X. Обшивка замка и замена замка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акте осмотра указано:</w:t>
      </w:r>
    </w:p>
    <w:p>
      <w:pPr>
        <w:spacing w:before="60" w:after="100"/>
        <w:ind w:left="680" w:right="397" w:firstLine="0"/>
      </w:pPr>
      <w:r>
        <w:rPr>
          <w:rFonts w:ascii="Times New Roman" w:hAnsi="Times New Roman" w:cs="Times New Roman" w:eastAsia="Times New Roman"/>
          <w:b w:val="0"/>
          <w:i/>
          <w:color w:val="000000"/>
          <w:sz w:val="22"/>
        </w:rPr>
        <w:t>«Обшивка замка крышки багажника - задиры.»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расчёте 2026 года включена замена замка крышки багажника 6RU827505C стоимостью 8 760,67 руб.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ставит вопрос:</w:t>
      </w:r>
    </w:p>
    <w:p>
      <w:pPr>
        <w:spacing w:before="60" w:after="100"/>
        <w:ind w:left="680" w:right="397" w:firstLine="0"/>
      </w:pPr>
      <w:r>
        <w:rPr>
          <w:rFonts w:ascii="Times New Roman" w:hAnsi="Times New Roman" w:cs="Times New Roman" w:eastAsia="Times New Roman"/>
          <w:b w:val="0"/>
          <w:i/>
          <w:color w:val="000000"/>
          <w:sz w:val="22"/>
        </w:rPr>
        <w:t>Каким первичным повреждением самого механизма замка обоснована замена замка крышки багажника?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Запись о задирах обшивки сама по себе не объясняет необходимость замены механизма замка. Это самостоятельное несоответствие между первичным описанием и расчётной позицией.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XI. Плёнка крышки багажника и плёнка заднего бампера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 первичных фотографиях от 29.10.2023 рекламная надпись и оклейка визуально присутствуют на заднем бампере, тогда как на повреждённой крышке багажника отдельная наклейка либо иная видимая плёнка не идентифицируется.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Несмотря на это, в акте осмотра от 30.10.2023 отдельной строкой указана «Плёнка крышки багажника - Р.М.», а в расчёт 2026 года включена «Плёнка крышки багажника» стоимостью 1 500 руб.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Необходимо установить: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именно представляла собой указанная плёнка;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существовала ли она на крышке багажника на момент ДТП;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какое повреждение плёнки было выявлено;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каким первичным материалом подтверждаются её наличие и повреждение.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Вид и назначение плёнки не установлены. До получения первичного источника она не именуется «антигравийной», «прозрачной» или иной.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Плёнку крышки багажника нельзя смешивать с плёнкой заднего бампера. В расчёте отдельно указаны: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плёнка заднего бампера - 2 500 руб.;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плёнка крышки багажника - 1 500 руб.;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работа «плёнка - замена» - 400 руб.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XII. Три ДТП-фотографии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 ответчика имеются три локальные фотографии автомобиля истца сразу после ДТП.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 них не просматривается крупная очевидная наружная деформация задней части автомобиля. При этом фотографии не позволяют исследовать скрытые элементы. Поэтому они: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 являются доказательством отсутствия скрытых повреждений;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 подтверждают наличие скрытых повреждений.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Официальные электронные оригиналы, полный комплект и метаданные запрошены.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XIII. Такси и заключение 2026 года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 ДТП-фотографиях видны оклейка «Яндекс Go Такси» и фонарь такси. В заключении 2026 года указано отсутствие специальных надписей.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Это не является доказательством отсутствия ущерба. Это вспомогательный вопрос к фактической основе исследования 2026 года: какой комплект фотографий и какое состояние автомобиля исследовались.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XIV. Страховая сумма 57 100 руб. и неполнота страхового дела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оригинальном заявлении ООО «Вигоравто» от 08.11.2023 прямо указано:</w:t>
      </w:r>
    </w:p>
    <w:p>
      <w:pPr>
        <w:spacing w:before="60" w:after="100"/>
        <w:ind w:left="680" w:right="397" w:firstLine="0"/>
      </w:pPr>
      <w:r>
        <w:rPr>
          <w:rFonts w:ascii="Times New Roman" w:hAnsi="Times New Roman" w:cs="Times New Roman" w:eastAsia="Times New Roman"/>
          <w:b w:val="0"/>
          <w:i/>
          <w:color w:val="000000"/>
          <w:sz w:val="22"/>
        </w:rPr>
        <w:t>«Прошу осуществить страховое возмещение по договору КАСКО № 65/22-04(7)-000217».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Источник: оригинал заявления ООО «Вигоравто» от 08.11.2023.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Заявление относится к договору КАСКО № 65/22-04(7)-000217. Тот же номер договора указан в распоряжении.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Выплатное дело № 065/23-04-001505 является номером убытка, а не номером договора страхования.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Распоряжение № 065/23-04-001505/01/07 содержит: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страхователя ООО «ВИГОРАВТО»;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договор 65/22-04(7)-000217;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сумму заявленного ущерба 57 100 руб. по КАСКО;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ущерб по документу оценки 57 100 руб. по КАСКО;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сумму к выплате 57 100 руб. по КАСКО;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основание - соглашение от 20.11.2023.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изученном комплекте отсутствуют: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страховой акт № 065/23-04-001505/01/05 от 11.11.2023;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текст Соглашения № 065/23-04-001505/01/06 от 20.11.2023, указанного в распоряжении как документ оценки;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самостоятельная калькуляция, объясняющая формирование суммы 57 100 руб.;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платёжный документ или банковская выписка, подтверждающие фактическое перечисление 57 100 руб. ООО «ВИГОРАВТО».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 данной стадии подтверждено, что страховщиком была определена сумма к выплате 57 100 руб. Способ её определения, объём компенсированных повреждений и факт фактического перечисления требуют установления.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Характеристика 57 100 руб. как суммы с учётом износа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Истец в иске характеризует 57 100 руб. как страховую выплату с учётом износа.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Однако распоряжение на выплату не содержит расчёта износа, не раскрывает применённую методику и ссылается как на документ оценки на Соглашение от 20.11.2023. Необходимо истребовать документ, из которого следует: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каким способом определены 57 100 руб.;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применялся ли износ;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 какой методике;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повреждения вошли в эту сумму;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детали и работы были учтены.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 утверждается, что износ точно не применялся.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Последовательность страхового урегулирования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Страховой акт № 065/23-04-001505/01/05 датирован 11.11.2023, а указанный в распоряжении документ оценки - Соглашение № 065/23-04-001505/01/06 - датирован 20.11.2023.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Само различие дат не объявляется нарушением. Для установления последовательности урегулирования необходимо исследовать содержание обоих документов и определить, какие обстоятельства и размер ущерба установлены страховым актом 11.11.2023, а какие - последующим Соглашением 20.11.2023.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Состояние автомобиля до ДТП и предстраховой осмотр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Ответчику неизвестно, проводился ли при заключении договора КАСКО № 65/22-04(7)-000217 либо при включении Volkswagen Polo VIN XW8ZZZ61ZLG032867 в страховое покрытие предстраховой осмотр.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такой осмотр проводился, его материалы могут содержать фотографии автомобиля до ДТП, пробег, сведения о ранее имевшихся повреждениях, состояние крышки багажника, заднего бампера, фонарей и задней панели, а также сведения о наличии либо отсутствии плёнки и оклейки.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не утверждает, что такие материалы существуют или что в них зафиксированы повреждения. Ответчик просит установить наличие этих материалов и при наличии истребовать их.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Возможная суброгация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случае подтверждения фактической выплаты страхового возмещения по КАСКО к страховщику в пределах произведённой выплаты могло перейти право требования в порядке ст. 965 ГК РФ.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Необходимо установить: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имела ли место фактическая выплата;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её точный размер;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какой ущерб ею компенсирован;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переходило ли право требования;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реализовывалось ли оно страховщиком;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суммы впоследствии получены.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Один и тот же имущественный вред не должен повторно компенсироваться потерпевшему в уже возмещённой части. Вывод о переходе права требования формулируется условно до подтверждения фактической выплаты.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XV. Противоречие в ответе «Югории» от 20.10.2026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 АО ГСК «Югория» от 20.10.2026 по тому же выплатному делу мотивирован ссылкой на пункт 11 статьи 12 Закона об ОСАГО.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 этом заявление ООО «ВИГОРАВТО» от 08.11.2023 прямо относится к договору КАСКО № 65/22-04(7)-000217. Это образует неустранённое противоречие страховой цепочки.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Необходимо установить: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существовало ли отдельное урегулирование ОСАГО/ПВУ;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имелось ли отдельное ОСАГО-дело;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передавались ли материалы КАСКО в ОСАГО-урегулирование;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4.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предъявляла ли АО ГСК «Югория» суброгацию;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5.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относится ли ссылка на п. 11 ст. 12 Закона об ОСАГО к отдельному страховому делу либо была использована в ответе по иной причине.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Сумма 57 100 руб. не квалифицируется как выплата по ОСАГО до установления полной страховой цепочки.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Дополнительно 20.10.2026 в 15:54 зарегистрирован последующий уточняющий запрос № 01-03/116336-26; на дату подготовки позиции ответ по существу не получен. Он не тождественен обращению № 01-03/115911-26, по которому уже получен ответ об отказе в предоставлении запрошенных материалов.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XVI. ОСАГО, участие страховщиков и суброгация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иске имеется полис ОСАГО ответчика в АО «Зетта Страхование» (полис ТТТ 7043868396).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Запрос М.В. Димитриевой зарегистрирован 08.10.2026 № 613966. Ответ пока ожидается.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иске также указан полис ХХХ 0284409797. Его вид страхования, страховщик, страхователь, застрахованное ТС, срок действия и связь с договором КАСКО № 65/22-04(7)-000217 и выплатным делом № 065/23-04-001505 требуют установления. До получения полиса или официального ответа его вид не квалифицируется.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Необходимо установить: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обращался ли потерпевший либо страховщик КАСКО по ОСАГО;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какой страховщик и в каком объёме урегулировал ОСАГО;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была ли суброгация КАСКО → ОСАГО;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суммы рассчитывались и выплачивались.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соответствии со ст. 1072 ГК РФ и пп. 63–65 Постановления Пленума Верховного Суда РФ от 08.11.2022 №31 причинитель вреда возмещает разницу между фактическим размером ущерба и надлежащим размером страхового возмещения только в случае, когда надлежащего страхового возмещения недостаточно для полного возмещения вреда.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XVII. Проценты - второй самостоятельный блок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Истец заявляет: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82 547,39 руб. процентов;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период с 29.10.2023 по 10.08.2026;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проценты с 11.08.2026;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проценты после вынесения решения.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возражает против взыскания 82 547,39 руб. процентов и против начисления процентов до вступления решения суда в законную силу.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Размер основного обязательства в настоящее время не подтверждён в заявленном объёме. Согласно п. 57 Постановления Пленума Верховного Суда РФ от 24.03.2016 №7 обязанность причинителя вреда по уплате процентов, предусмотренных ст. 395 ГК РФ, возникает со дня вступления в законную силу решения суда, которым удовлетворено требование потерпевшего о возмещении причинённых убытков, если иной момент не установлен законом, при просрочке их уплаты.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XVIII. Судебные расходы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не оспаривает факт оплаты, однако оспаривает необходимость, относимость, разумность и размер расходов в части их взыскания с ответчика.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25 000 руб. за экспертное исследование, 50 000 руб. за юридические услуги и 8 588 руб. государственной пошлины документально подтверждены как факты оплаты.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Подтверждение почтовых расходов 520 руб. в материалах пока не найдено.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силу ст. 98, 100 ГПК РФ судебные расходы распределяются с учётом результата дела, а представительские расходы подлежат взысканию только в разумных пределах.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XIX. Обстоятельства, которые необходимо установить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Для правильного разрешения дела необходимо установить: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объём повреждений, причинная связь которых с ДТП 29.10.2023 подтверждается первичными материалами;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проводилась ли 30.10.2023 разборка автомобиля и какие элементы снимались;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существовали ли фотографии осмотра, разборки и дефектовки, где они находятся и кем выполнены;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4.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материалы использовал автор заключения 2026 года;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5.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 каком основании обшивка замка преобразована в замену механизма замка;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6.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 соотносятся сумма, определённая к выплате по КАСКО, страховое урегулирование ОСАГО и возможная суброгация;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7.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имеется ли подтверждённый основной долг и возникло ли денежное обязательство в период, за который рассчитаны проценты;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8.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расходы подлежат взысканию с учётом результата дела.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9.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каков полный договор КАСКО, входил ли Volkswagen Polo VIN XW8ZZZ61ZLG032867 в покрытие и проводился ли предстраховой осмотр;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10.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каким способом определены 57 100 руб., было ли фактическое перечисление и существовала ли суброгация.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XX. Просительная часть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Отказать во взыскании 82 547,39 руб. процентов и процентов за период до вступления решения суда в законную силу.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случае удовлетворения требования о взыскании основного долга определить проценты после вступления решения в законную силу только на фактически присуждённую сумму.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Отказать в удовлетворении требований в той части, в которой причинная связь, объём повреждений, необходимость замены, окраски, плёнки и сопутствующих работ не подтверждены.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4.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Истребовать полный договор КАСКО, документы включения автомобиля в покрытие, предстраховой осмотр, страховой акт /05, Соглашение /06, расчёт 57 100 руб., платёжное подтверждение, материалы ОСАГО/ПВУ, сведения о суброгации и полис ХХХ 0284409797.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5.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Привлечь АО «Зетта Страхование» к участию в деле в качестве третьего лица, не заявляющего самостоятельных требований относительно предмета спора, на стороне ответчика.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6.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Разрешить вопрос о процессуальном статусе АО ГСК «Югория» после получения сведений о суброгации.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7.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Распределить судебные расходы пропорционально результату дела и проверить необходимость, относимость, разумность и размер расходов, заявленных к взысканию с ответчика.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__________ / Димитриева М.В. /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Дата: __________</w:t>
      </w:r>
    </w:p>
    <w:sectPr w:rsidR="00FC693F" w:rsidRPr="0006063C" w:rsidSect="00034616">
      <w:footerReference w:type="default" r:id="rId9"/>
      <w:pgSz w:w="11906" w:h="16838"/>
      <w:pgMar w:top="1020" w:right="850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21" w:val="right"/>
      </w:tabs>
      <w:spacing w:before="0" w:after="0"/>
      <w:jc w:val="left"/>
    </w:pPr>
    <w:r>
      <w:rPr>
        <w:rFonts w:ascii="Times New Roman" w:hAnsi="Times New Roman" w:cs="Times New Roman" w:eastAsia="Times New Roman"/>
        <w:color w:val="000000"/>
        <w:sz w:val="17"/>
      </w:rPr>
      <w:t>Дело № 02-5004/2026</w:t>
    </w:r>
    <w:r>
      <w:rPr>
        <w:rFonts w:ascii="Times New Roman" w:hAnsi="Times New Roman" w:cs="Times New Roman" w:eastAsia="Times New Roman"/>
        <w:color w:val="000000"/>
        <w:sz w:val="17"/>
      </w:rPr>
      <w:tab/>
    </w:r>
    <w:r>
      <w:rPr>
        <w:rFonts w:ascii="Times New Roman" w:hAnsi="Times New Roman" w:cs="Times New Roman" w:eastAsia="Times New Roman"/>
        <w:color w:val="000000"/>
        <w:sz w:val="17"/>
      </w:rPr>
      <w:t xml:space="preserve">Страница </w:t>
    </w:r>
    <w:r>
      <w:rPr>
        <w:rFonts w:ascii="Times New Roman" w:hAnsi="Times New Roman" w:cs="Times New Roman" w:eastAsia="Times New Roman"/>
        <w:color w:val="000000"/>
        <w:sz w:val="17"/>
      </w:rPr>
      <w:fldChar w:fldCharType="begin"/>
      <w:instrText xml:space="preserve"> PAGE </w:instrText>
      <w:fldChar w:fldCharType="separate"/>
    </w:r>
    <w:r>
      <w:rPr>
        <w:rFonts w:ascii="Times New Roman" w:hAnsi="Times New Roman" w:cs="Times New Roman" w:eastAsia="Times New Roman"/>
        <w:color w:val="000000"/>
        <w:sz w:val="17"/>
      </w:rPr>
      <w:t>1</w:t>
    </w:r>
    <w:r>
      <w:rPr>
        <w:rFonts w:ascii="Times New Roman" w:hAnsi="Times New Roman" w:cs="Times New Roman" w:eastAsia="Times New Roman"/>
        <w:color w:val="000000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  <w:jc w:val="both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ПИСЬМЕННАЯ ПОЗИЦИЯ ОТВЕТЧИКА</dc:title>
  <dc:subject>Гражданское дело № 02-5004/2026</dc:subject>
  <dc:creator>Димитриева М.В.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