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Times New Roman"/>
          <w:b/>
          <w:color w:val="000000"/>
        </w:rPr>
        <w:t>В Тимирязевский районный суд г. Москвы</w:t>
      </w:r>
    </w:p>
    <w:p>
      <w:pPr>
        <w:widowControl/>
        <w:jc w:val="both"/>
      </w:pPr>
      <w:r>
        <w:rPr>
          <w:rFonts w:ascii="Times New Roman" w:hAnsi="Times New Roman" w:eastAsia="Times New Roman"/>
          <w:b/>
        </w:rPr>
        <w:t>Дело № 02-5004/2026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Истец: ООО «ВИГОРАВТО»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Ответчик: Димитриева Марина Владимировна</w:t>
      </w:r>
    </w:p>
    <w:p>
      <w:pPr>
        <w:pStyle w:val="Title"/>
        <w:jc w:val="center"/>
      </w:pPr>
      <w:r>
        <w:rPr>
          <w:rFonts w:ascii="Times New Roman" w:hAnsi="Times New Roman" w:eastAsia="Times New Roman"/>
          <w:b/>
          <w:color w:val="000000"/>
        </w:rPr>
        <w:t>ХОДАТАЙСТВО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о процессуальном статусе страховщиков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В материалах одновременно фигурируют: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КАСКО-договор № 65/22-04(7)-000217;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выплатное дело № 065/23-04-001505;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полис ОСАГО ХХХ 0284409797, указанный в электронном извещении о ДТП у АО ГСК «Югория»;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ОСАГО ответчика ТТТ 7043868396;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ответ АО ГСК «Югория» со ссылкой на норму Закона об ОСАГО.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При отсутствии полного страхового дела не установлены: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фактическое перечисление 57 100 руб.;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содержание Соглашения от 20.11.2023;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подтверждение полиса ХХХ 0284409797 по официальному реестру;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надлежащий размер возмещения по ОСАГО;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наличие суброгации;</w:t>
      </w:r>
    </w:p>
    <w:p>
      <w:pPr>
        <w:widowControl/>
        <w:ind w:left="317" w:hanging="230"/>
        <w:jc w:val="both"/>
      </w:pPr>
      <w:r>
        <w:rPr>
          <w:rFonts w:ascii="Times New Roman" w:hAnsi="Times New Roman" w:eastAsia="Times New Roman"/>
          <w:b w:val="0"/>
        </w:rPr>
        <w:t>• связь между перечисленными страховыми документами.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Согласно ст. 1072 ГК РФ и пп. 63–65 Постановления Пленума Верховного Суда РФ от 08.11.2022 №31 причинитель вреда возмещает разницу между фактическим размером ущерба и надлежащим размером страхового возмещения только при недостаточности последнего для полного возмещения вреда.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Поэтому участие страховщика и его процессуальный статус зависят от фактических обстоятельств обращения по ОСАГО/ПВУ.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b/>
          <w:color w:val="000000"/>
        </w:rPr>
        <w:t>Вариант A. Обращения по ОСАГО/ПВУ не было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Если ООО «ВИГОРАВТО» не обращалось с заявлением по ОСАГО либо ПВУ, необходимо установить надлежащего страховщика, привлечь его в качестве ответчика и разрешить последствия несоблюдения обязательного досудебного порядка, включая вопрос об оставлении требований без рассмотрения в порядке п. 114 Постановления Пленума №31.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b/>
          <w:color w:val="000000"/>
        </w:rPr>
        <w:t>Вариант B. Обращение по ОСАГО/ПВУ было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Если обращение было и обязательный порядок соблюдён, необходимо привлечь соответствующего страховщика третьим лицом и определить разницу между фактическим ущербом и надлежащим страховым возмещением.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АО «Зетта Страхование» указано в иске как страховщик ответственности ответчика. Это обстоятельство позволяет истребовать у него сведения и материалы, но не предрешает окончательный процессуальный статус до установления факта обращения по ОСАГО/ПВУ.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По АО ГСК «Югория» процессуальный вопрос следует разрешить после получения сведений о том, предъявлялось ли суброгационное требование к ОСАГО-страховщику, в каком размере и какое решение по нему принято.</w:t>
      </w:r>
    </w:p>
    <w:p>
      <w:pPr>
        <w:pStyle w:val="Heading2"/>
        <w:jc w:val="left"/>
      </w:pPr>
      <w:r>
        <w:rPr>
          <w:rFonts w:ascii="Times New Roman" w:hAnsi="Times New Roman" w:eastAsia="Times New Roman"/>
          <w:b/>
          <w:color w:val="000000"/>
        </w:rPr>
        <w:t>Прошу суд</w:t>
      </w:r>
    </w:p>
    <w:p>
      <w:pPr>
        <w:widowControl/>
        <w:ind w:left="346" w:hanging="259"/>
        <w:jc w:val="both"/>
      </w:pPr>
      <w:r>
        <w:rPr>
          <w:rFonts w:ascii="Times New Roman" w:hAnsi="Times New Roman" w:eastAsia="Times New Roman"/>
          <w:b w:val="0"/>
        </w:rPr>
        <w:t>1. Установить, обращалось ли ООО «ВИГОРАВТО» по ОСАГО либо ПВУ и был ли соблюдён обязательный досудебный порядок.</w:t>
      </w:r>
    </w:p>
    <w:p>
      <w:pPr>
        <w:widowControl/>
        <w:ind w:left="346" w:hanging="259"/>
        <w:jc w:val="both"/>
      </w:pPr>
      <w:r>
        <w:rPr>
          <w:rFonts w:ascii="Times New Roman" w:hAnsi="Times New Roman" w:eastAsia="Times New Roman"/>
          <w:b w:val="0"/>
        </w:rPr>
        <w:t>2. Если обращение отсутствовало, установить надлежащего страховщика, привлечь его в качестве ответчика и применить последствия, предусмотренные п. 114 Постановления Пленума №31.</w:t>
      </w:r>
    </w:p>
    <w:p>
      <w:pPr>
        <w:widowControl/>
        <w:ind w:left="346" w:hanging="259"/>
        <w:jc w:val="both"/>
      </w:pPr>
      <w:r>
        <w:rPr>
          <w:rFonts w:ascii="Times New Roman" w:hAnsi="Times New Roman" w:eastAsia="Times New Roman"/>
          <w:b w:val="0"/>
        </w:rPr>
        <w:t>3. Если обращение было и обязательный порядок соблюдён, привлечь соответствующего страховщика третьим лицом и определить надлежащий размер ОСАГО-возмещения.</w:t>
      </w:r>
    </w:p>
    <w:p>
      <w:pPr>
        <w:widowControl/>
        <w:ind w:left="346" w:hanging="259"/>
        <w:jc w:val="both"/>
      </w:pPr>
      <w:r>
        <w:rPr>
          <w:rFonts w:ascii="Times New Roman" w:hAnsi="Times New Roman" w:eastAsia="Times New Roman"/>
          <w:b w:val="0"/>
        </w:rPr>
        <w:t>4. Истребовать у АО «Зетта Страхование» сведения о поступивших обращениях по ДТП от 29.10.2023, расчётах, выплатах, отказах и суброгации.</w:t>
      </w:r>
    </w:p>
    <w:p>
      <w:pPr>
        <w:widowControl/>
        <w:ind w:left="346" w:hanging="259"/>
        <w:jc w:val="both"/>
      </w:pPr>
      <w:r>
        <w:rPr>
          <w:rFonts w:ascii="Times New Roman" w:hAnsi="Times New Roman" w:eastAsia="Times New Roman"/>
          <w:b w:val="0"/>
        </w:rPr>
        <w:t>5. После получения этих сведений разрешить вопрос о процессуальном статусе АО ГСК «Югория».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Ответчик: __________ / Димитриева М.В. /</w:t>
      </w:r>
    </w:p>
    <w:p>
      <w:pPr>
        <w:widowControl/>
        <w:jc w:val="both"/>
      </w:pPr>
      <w:r>
        <w:rPr>
          <w:rFonts w:ascii="Times New Roman" w:hAnsi="Times New Roman" w:eastAsia="Times New Roman"/>
          <w:b w:val="0"/>
        </w:rPr>
        <w:t>Дата: __________</w:t>
      </w:r>
    </w:p>
    <w:sectPr w:rsidR="00FC693F" w:rsidRPr="0006063C" w:rsidSect="00034616">
      <w:footerReference w:type="default" r:id="rId9"/>
      <w:pgSz w:w="11906" w:h="16838"/>
      <w:pgMar w:top="1020" w:right="850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21" w:val="right"/>
      </w:tabs>
      <w:spacing w:before="0" w:after="0"/>
      <w:jc w:val="left"/>
    </w:pPr>
    <w:r>
      <w:rPr>
        <w:rFonts w:ascii="Times New Roman" w:hAnsi="Times New Roman" w:cs="Times New Roman" w:eastAsia="Times New Roman"/>
        <w:color w:val="000000"/>
        <w:sz w:val="17"/>
      </w:rPr>
      <w:t>Дело № 02-5004/2026</w:t>
    </w:r>
    <w:r>
      <w:rPr>
        <w:rFonts w:ascii="Times New Roman" w:hAnsi="Times New Roman" w:cs="Times New Roman" w:eastAsia="Times New Roman"/>
        <w:color w:val="000000"/>
        <w:sz w:val="17"/>
      </w:rPr>
      <w:tab/>
    </w:r>
    <w:r>
      <w:rPr>
        <w:rFonts w:ascii="Times New Roman" w:hAnsi="Times New Roman" w:cs="Times New Roman" w:eastAsia="Times New Roman"/>
        <w:color w:val="000000"/>
        <w:sz w:val="17"/>
      </w:rPr>
      <w:t xml:space="preserve">Страница </w:t>
    </w:r>
    <w:r>
      <w:rPr>
        <w:rFonts w:ascii="Times New Roman" w:hAnsi="Times New Roman" w:cs="Times New Roman" w:eastAsia="Times New Roman"/>
        <w:color w:val="000000"/>
        <w:sz w:val="17"/>
      </w:rPr>
      <w:fldChar w:fldCharType="begin"/>
      <w:instrText xml:space="preserve"> PAGE </w:instrText>
      <w:fldChar w:fldCharType="separate"/>
    </w:r>
    <w:r>
      <w:rPr>
        <w:rFonts w:ascii="Times New Roman" w:hAnsi="Times New Roman" w:cs="Times New Roman" w:eastAsia="Times New Roman"/>
        <w:color w:val="000000"/>
        <w:sz w:val="17"/>
      </w:rPr>
      <w:t>1</w:t>
    </w:r>
    <w:r>
      <w:rPr>
        <w:rFonts w:ascii="Times New Roman" w:hAnsi="Times New Roman" w:cs="Times New Roman" w:eastAsia="Times New Roman"/>
        <w:color w:val="000000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  <w:jc w:val="both"/>
    </w:pPr>
    <w:rPr>
      <w:rFonts w:ascii="Times New Roman" w:hAnsi="Times New Roman" w:cs="Times New Roman" w:eastAsia="Times New Roman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00" w:line="240" w:lineRule="auto" w:before="180"/>
      <w:contextualSpacing/>
    </w:pPr>
    <w:rPr>
      <w:rFonts w:asciiTheme="majorHAnsi" w:eastAsiaTheme="majorEastAsia" w:hAnsiTheme="majorHAnsi" w:cstheme="majorBidi" w:ascii="Times New Roman" w:hAnsi="Times New Roman" w:cs="Times New Roman" w:eastAsia="Times New Roman"/>
      <w:b/>
      <w:i w:val="0"/>
      <w:color w:val="00000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ХОДАТАЙСТВО</dc:title>
  <dc:subject>Дело № 02-5004/2026</dc:subject>
  <dc:creator>Димитриева М.В.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