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sz w:val="28"/>
          <w:szCs w:val="28"/>
          <w:lang w:val="en-US" w:eastAsia="zh-CN"/>
        </w:rPr>
        <w:t>第五次作业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本次作业使用了qq提供的sdk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首先在qq开放平台申请appID并且下载其sdk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230" cy="983615"/>
            <wp:effectExtent l="0" t="0" r="7620" b="6985"/>
            <wp:docPr id="1" name="图片 1" descr="截图20181229005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201812290051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在LoginActivity中放入一个qq登录按钮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点击事件激活后，生成一个Tencent对象并调用其login方法，并注册监听器进行回调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0500" cy="4342130"/>
            <wp:effectExtent l="0" t="0" r="6350" b="1270"/>
            <wp:docPr id="2" name="图片 2" descr="截图20181229005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201812290054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获取到报文之后，获取其中的参数后进行二次请求，获取用户的信息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一切顺利则会返回用户名以及用户头像等信息，之后将其传递至MainActivity,在Fragment1中，qq用户头像会使用第三方库来装载如头像框中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0500" cy="2214880"/>
            <wp:effectExtent l="0" t="0" r="6350" b="13970"/>
            <wp:docPr id="3" name="图片 3" descr="截图20181229005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201812290058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75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csj</dc:creator>
  <cp:lastModifiedBy>Reigns</cp:lastModifiedBy>
  <dcterms:modified xsi:type="dcterms:W3CDTF">2018-12-28T16:59:58Z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