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Microsoft YaHei" w:hAnsi="Microsoft YaHei" w:eastAsia="黑体"/>
          <w:b/>
          <w:sz w:val="44"/>
        </w:rPr>
        <w:t>城市治理 · 空间问答与研判助手</w:t>
      </w:r>
    </w:p>
    <w:p>
      <w:pPr>
        <w:spacing w:after="360"/>
        <w:jc w:val="center"/>
      </w:pPr>
      <w:r>
        <w:rPr>
          <w:rFonts w:ascii="Microsoft YaHei" w:hAnsi="Microsoft YaHei" w:eastAsia="楷体"/>
          <w:b w:val="0"/>
          <w:color w:val="555555"/>
          <w:sz w:val="24"/>
        </w:rPr>
        <w:t>个人项目 · 设计文档</w:t>
      </w:r>
    </w:p>
    <w:p>
      <w:pPr>
        <w:spacing w:before="240" w:after="480"/>
        <w:jc w:val="center"/>
      </w:pPr>
      <w:r>
        <w:rPr>
          <w:rFonts w:ascii="Microsoft YaHei" w:hAnsi="Microsoft YaHei" w:eastAsia="黑体"/>
          <w:b/>
          <w:sz w:val="36"/>
        </w:rPr>
        <w:t>03 设计思路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本文档为个人项目设计文档分册，与系统可运行演示、应用案例说明配套使用。内容围绕城市治理垂直场景，阐述基于大语言模型、AIGC 与智能体技术的空间问答与研判方案。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一、总体设计理念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本系统的核心设计理念是：把 GIS 专业能力封装为可被智能体调用的工具，把大语言模型作为“意图理解与流程编排大脑”，把 Web 地图作为“结果表达舞台”。用户不需要记忆缓冲区、叠加分析等菜单路径，只需用业务语言描述研判目标；系统负责把目标翻译为工具序列，并保证计算真实发生在 GIS 引擎中，而不是由模型“编造坐标与统计结果”。</w:t>
      </w:r>
    </w:p>
    <w:p>
      <w:pPr>
        <w:ind w:firstLine="420"/>
      </w:pPr>
      <w:r>
        <w:rPr>
          <w:rFonts w:ascii="Times New Roman" w:hAnsi="Times New Roman" w:eastAsia="宋体"/>
          <w:b/>
          <w:sz w:val="24"/>
        </w:rPr>
        <w:t>三条原则：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计算可信：空间几何与统计由 GIS 库执行，LLM 不负责数值真相。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过程可见：工具调用链可展示，便于解释与复盘。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演示优先：固定剧本 + 样例数据，确保展示过程可控。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二、问题抽象：从业务问题到 Agent 任务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城市治理空间研判问题可抽象为四元组：目标对象（地点/事件）、分析动作（缓冲/查询/统计）、约束条件（半径、图层类型、阈值）、输出形态（地图、数字、报告）。Agent 的职责是完成槽位填充、工具选择、参数校验、结果汇总与自然语言生成。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/>
            <w:r>
              <w:rPr>
                <w:rFonts w:ascii="Microsoft YaHei" w:hAnsi="Microsoft YaHei" w:eastAsia="黑体"/>
                <w:b/>
                <w:sz w:val="22"/>
              </w:rPr>
              <w:t>业务表述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黑体"/>
                <w:b/>
                <w:sz w:val="22"/>
              </w:rPr>
              <w:t>结构化意图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黑体"/>
                <w:b/>
                <w:sz w:val="22"/>
              </w:rPr>
              <w:t>工具序列示例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某小区 500m 内学校数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POI定位→缓冲→图层筛选→计数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geocode → buffer → spatial_filter → count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投诉点周边设施清单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事件定位→缓冲→多图层相交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locate_event → buffer → intersect_layers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拟建点是否过近敏感目标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两点距离/缓冲相交判定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project → distance/buffer → intersect → judge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黑体"/>
          <w:b/>
          <w:sz w:val="32"/>
        </w:rPr>
        <w:t>三、系统分层架构思路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采用前后端分离 + AI 编排层 + GIS 能力层：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表现层（Vue3）：对话、地图、轨迹面板、报告预览。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接入层（FastAPI）：鉴权、会话、流式输出、静态资源。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智能编排层（LangChain/LangGraph）：意图理解、工具选择、多步规划、记忆。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能力层：GIS Tools、RAG Retriever、Report Generator。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数据层：GeoJSON/PostGIS、向量库、配置与日志。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该分层保证“换模型不换工具、换底图不换 Agent、换场景主要改提示词与数据”，有利于后续继续扩展到农业、应急等其他垂直场景。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四、关键技术路径</w:t>
      </w:r>
    </w:p>
    <w:p>
      <w:pPr>
        <w:pStyle w:val="Heading2"/>
      </w:pPr>
      <w:r>
        <w:rPr>
          <w:rFonts w:ascii="Microsoft YaHei" w:hAnsi="Microsoft YaHei" w:eastAsia="黑体"/>
          <w:b/>
          <w:sz w:val="28"/>
        </w:rPr>
        <w:t>4.1 为何选择 Web 而非 App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本项目目标是在计算机上完整演示可运行系统。Web 端部署与展示成本最低，地图组件生态成熟，便于浏览器直接体验。App 更适合外业采集，非本期主路径；可在设计文档中保留扩展规划。</w:t>
      </w:r>
    </w:p>
    <w:p>
      <w:pPr>
        <w:pStyle w:val="Heading2"/>
      </w:pPr>
      <w:r>
        <w:rPr>
          <w:rFonts w:ascii="Microsoft YaHei" w:hAnsi="Microsoft YaHei" w:eastAsia="黑体"/>
          <w:b/>
          <w:sz w:val="28"/>
        </w:rPr>
        <w:t>4.2 LangChain 在本项目中的角色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LangChain 用于组织 Prompt、工具（Tools）、检索器与 Agent 执行循环。本项目将缓冲、投影、相交、统计、检索等能力注册为 Tool；由 Agent 根据用户问题决定调用顺序。复杂多步流程可进一步用 LangGraph 固化状态机（规划→分析→校验→报告），降低自由 Agent 的不稳定。</w:t>
      </w:r>
    </w:p>
    <w:p>
      <w:pPr>
        <w:pStyle w:val="Heading2"/>
      </w:pPr>
      <w:r>
        <w:rPr>
          <w:rFonts w:ascii="Microsoft YaHei" w:hAnsi="Microsoft YaHei" w:eastAsia="黑体"/>
          <w:b/>
          <w:sz w:val="28"/>
        </w:rPr>
        <w:t>4.3 “防幻觉”设计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禁止模型直接给出未经工具计算的面积/距离/数量结论。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工具返回结构化 JSON，再由模型润色措辞。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坐标分析前强制投影到度量坐标系，避免经纬度单位误用。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地名无法匹配时明确失败，引导用户点选地图或更换名称。</w:t>
      </w:r>
    </w:p>
    <w:p>
      <w:pPr>
        <w:pStyle w:val="Heading2"/>
      </w:pPr>
      <w:r>
        <w:rPr>
          <w:rFonts w:ascii="Microsoft YaHei" w:hAnsi="Microsoft YaHei" w:eastAsia="黑体"/>
          <w:b/>
          <w:sz w:val="28"/>
        </w:rPr>
        <w:t>4.4 人机交互设计思路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采用“左对话、右地图、底/侧轨迹”布局：用户提问后，先看到思考/工具步骤，再看到地图更新，最后看到总结与“生成报告”按钮。该顺序符合研判认知：先方法、再证据、后结论。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五、数据与坐标系策略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演示数据建议使用脱敏后的城市局部样例（学校、医院、公园、消防站、投诉事件点）。存储可采用 GeoJSON（轻量易交付）或 PostGIS（更贴近真实工程）。输入坐标统一为 EPSG:4326；涉及米制缓冲/面积时，动态选择合适的投影（如 UTM）或使用地理库的测地能力。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六、安全与合规设计思路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演示数据脱敏，避免真实隐私与精确敏感坐标。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API Key 仅存环境变量或本地配置，不进入前端。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对用户输入做长度与注入防护；工具参数白名单校验。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日志记录工具调用，不记录完整密钥。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七、演示设计思路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建议准备三个固定剧本：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公共服务覆盖：小区周边学校/医院统计。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投诉研判：事件点缓冲内公园/设施清单。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合规距离：拟建点与敏感目标缓冲相交判定。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每个剧本提供一键按钮，减少操作误差；同时保留自由问答入口体现智能体通用性。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八、设计权衡说明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/>
            <w:r>
              <w:rPr>
                <w:rFonts w:ascii="Microsoft YaHei" w:hAnsi="Microsoft YaHei" w:eastAsia="黑体"/>
                <w:b/>
                <w:sz w:val="22"/>
              </w:rPr>
              <w:t>议题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黑体"/>
                <w:b/>
                <w:sz w:val="22"/>
              </w:rPr>
              <w:t>选择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黑体"/>
                <w:b/>
                <w:sz w:val="22"/>
              </w:rPr>
              <w:t>理由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Agent 自由度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工具约束 + 可选图工作流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兼顾灵活与稳定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地图引擎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Leaflet 优先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轻量、易集成、够演示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空间库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GeoPandas 起步，可接 PostGIS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交付快且可升级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报告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先 Markdown/DOCX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实现成本可控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多模态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一期不做强依赖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聚焦空间 Agent 主线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黑体"/>
          <w:b/>
          <w:sz w:val="32"/>
        </w:rPr>
        <w:t>九、小结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设计思路可概括为：垂直场景牵引、Agent 编排核心、GIS 工具保真、地图表达落地、文档与演示闭环。该思路兼顾创新性与完整性，也为后续工程化留下清晰演进路径。</w:t>
      </w:r>
    </w:p>
    <w:p>
      <w:pPr>
        <w:spacing w:before="480"/>
      </w:pPr>
      <w:r>
        <w:rPr>
          <w:rFonts w:ascii="Times New Roman" w:hAnsi="Times New Roman" w:eastAsia="宋体"/>
          <w:b w:val="0"/>
          <w:color w:val="666666"/>
          <w:sz w:val="21"/>
        </w:rPr>
        <w:t>文档名称：03 设计思路</w:t>
        <w:br/>
        <w:t>项目名称：城市治理 · 空间问答与研判助手</w:t>
        <w:br/>
        <w:t>文档类型：个人项目设计文档（分册）</w:t>
        <w:br/>
        <w:t>版本：V1.0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