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721349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ascii="Times New Roman" w:hAnsi="Times New Roman" w:eastAsia="Songti SC"/>
          <w:sz w:val="32"/>
          <w:szCs w:val="32"/>
        </w:rPr>
      </w:pPr>
      <w:r>
        <w:rPr>
          <w:rFonts w:ascii="Times New Roman" w:hAnsi="Times New Roman" w:eastAsia="Songti SC"/>
          <w:sz w:val="32"/>
          <w:szCs w:val="32"/>
        </w:rPr>
        <w:t>智能研究平台简洁使用说明</w:t>
      </w:r>
    </w:p>
    <w:p w14:paraId="6EFAF03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center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 w:val="0"/>
          <w:color w:val="5A636E"/>
          <w:sz w:val="24"/>
          <w:szCs w:val="24"/>
        </w:rPr>
        <w:t>新用户快速上手版</w:t>
      </w:r>
    </w:p>
    <w:p w14:paraId="20570E0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本说明帮助新用户快速完成从登录、提问、启动研究到审阅成果的完整流程。建议先用智能对话熟悉资料和问题，再用研究任务形成可追溯的正式成果。</w:t>
      </w:r>
    </w:p>
    <w:p w14:paraId="49EEC10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Songti SC"/>
          <w:sz w:val="28"/>
          <w:szCs w:val="28"/>
        </w:rPr>
      </w:pPr>
      <w:r>
        <w:rPr>
          <w:rFonts w:ascii="Times New Roman" w:hAnsi="Times New Roman" w:eastAsia="Songti SC"/>
          <w:sz w:val="28"/>
          <w:szCs w:val="28"/>
        </w:rPr>
        <w:t>一 用户快速上手流程</w:t>
      </w:r>
    </w:p>
    <w:tbl>
      <w:tblPr>
        <w:tblStyle w:val="32"/>
        <w:tblW w:w="0" w:type="auto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"/>
        <w:gridCol w:w="2520"/>
        <w:gridCol w:w="7056"/>
      </w:tblGrid>
      <w:tr w14:paraId="4C1912FF">
        <w:trPr>
          <w:jc w:val="center"/>
        </w:trPr>
        <w:tc>
          <w:tcPr>
            <w:tcW w:w="792" w:type="dxa"/>
            <w:shd w:val="clear" w:color="auto" w:fill="17365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EE1AC8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24"/>
                <w:szCs w:val="24"/>
              </w:rPr>
              <w:t>步骤</w:t>
            </w:r>
          </w:p>
        </w:tc>
        <w:tc>
          <w:tcPr>
            <w:tcW w:w="2520" w:type="dxa"/>
            <w:shd w:val="clear" w:color="auto" w:fill="17365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53F58959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24"/>
                <w:szCs w:val="24"/>
              </w:rPr>
              <w:t>操作</w:t>
            </w:r>
          </w:p>
        </w:tc>
        <w:tc>
          <w:tcPr>
            <w:tcW w:w="7056" w:type="dxa"/>
            <w:shd w:val="clear" w:color="auto" w:fill="17365D"/>
            <w:tcMar>
              <w:top w:w="70" w:type="dxa"/>
              <w:left w:w="95" w:type="dxa"/>
              <w:bottom w:w="70" w:type="dxa"/>
              <w:right w:w="95" w:type="dxa"/>
            </w:tcMar>
            <w:vAlign w:val="center"/>
          </w:tcPr>
          <w:p w14:paraId="0FFA17C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FFFFFF"/>
                <w:sz w:val="24"/>
                <w:szCs w:val="24"/>
              </w:rPr>
              <w:t>完成结果</w:t>
            </w:r>
          </w:p>
        </w:tc>
      </w:tr>
      <w:tr w14:paraId="7A07ABF6">
        <w:trPr>
          <w:jc w:val="center"/>
        </w:trPr>
        <w:tc>
          <w:tcPr>
            <w:tcW w:w="792" w:type="dxa"/>
            <w:shd w:val="clear" w:color="auto" w:fill="FFFFFF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6C9C3D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1</w:t>
            </w:r>
          </w:p>
        </w:tc>
        <w:tc>
          <w:tcPr>
            <w:tcW w:w="2520" w:type="dxa"/>
            <w:shd w:val="clear" w:color="auto" w:fill="FFFFFF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2773CFE7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登录并核对身份</w:t>
            </w:r>
          </w:p>
        </w:tc>
        <w:tc>
          <w:tcPr>
            <w:tcW w:w="7056" w:type="dxa"/>
            <w:shd w:val="clear" w:color="auto" w:fill="FFFFFF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3ABD9142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确认左下角用户名、所属部门和可见功能。</w:t>
            </w:r>
          </w:p>
        </w:tc>
      </w:tr>
      <w:tr w14:paraId="78CC38D9">
        <w:trPr>
          <w:jc w:val="center"/>
        </w:trPr>
        <w:tc>
          <w:tcPr>
            <w:tcW w:w="792" w:type="dxa"/>
            <w:shd w:val="clear" w:color="auto" w:fill="F3F7FB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2A4E941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2</w:t>
            </w:r>
          </w:p>
        </w:tc>
        <w:tc>
          <w:tcPr>
            <w:tcW w:w="2520" w:type="dxa"/>
            <w:shd w:val="clear" w:color="auto" w:fill="F3F7FB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38F312FB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准备问题和资料</w:t>
            </w:r>
          </w:p>
        </w:tc>
        <w:tc>
          <w:tcPr>
            <w:tcW w:w="7056" w:type="dxa"/>
            <w:shd w:val="clear" w:color="auto" w:fill="F3F7FB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45BD2895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明确研究对象、场景、时间范围、证据要求和输出形式。</w:t>
            </w:r>
          </w:p>
        </w:tc>
      </w:tr>
      <w:tr w14:paraId="418BF7D2">
        <w:trPr>
          <w:jc w:val="center"/>
        </w:trPr>
        <w:tc>
          <w:tcPr>
            <w:tcW w:w="792" w:type="dxa"/>
            <w:shd w:val="clear" w:color="auto" w:fill="FFFFFF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23BFAC1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3</w:t>
            </w:r>
          </w:p>
        </w:tc>
        <w:tc>
          <w:tcPr>
            <w:tcW w:w="2520" w:type="dxa"/>
            <w:shd w:val="clear" w:color="auto" w:fill="FFFFFF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3FD9472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先用智能对话试问</w:t>
            </w:r>
          </w:p>
        </w:tc>
        <w:tc>
          <w:tcPr>
            <w:tcW w:w="7056" w:type="dxa"/>
            <w:shd w:val="clear" w:color="auto" w:fill="FFFFFF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56A4233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引用文件或知识库，验证问题是否清楚、资料是否可用。</w:t>
            </w:r>
          </w:p>
        </w:tc>
      </w:tr>
      <w:tr w14:paraId="1AF56CCD">
        <w:trPr>
          <w:jc w:val="center"/>
        </w:trPr>
        <w:tc>
          <w:tcPr>
            <w:tcW w:w="792" w:type="dxa"/>
            <w:shd w:val="clear" w:color="auto" w:fill="F3F7FB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0DF4A9F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4</w:t>
            </w:r>
          </w:p>
        </w:tc>
        <w:tc>
          <w:tcPr>
            <w:tcW w:w="2520" w:type="dxa"/>
            <w:shd w:val="clear" w:color="auto" w:fill="F3F7FB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43840468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启动研究任务</w:t>
            </w:r>
          </w:p>
        </w:tc>
        <w:tc>
          <w:tcPr>
            <w:tcW w:w="7056" w:type="dxa"/>
            <w:shd w:val="clear" w:color="auto" w:fill="F3F7FB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10134370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补充约束，选择研究模式和模型，启动多智能体研究。</w:t>
            </w:r>
          </w:p>
        </w:tc>
      </w:tr>
      <w:tr w14:paraId="1AAA4605">
        <w:trPr>
          <w:jc w:val="center"/>
        </w:trPr>
        <w:tc>
          <w:tcPr>
            <w:tcW w:w="792" w:type="dxa"/>
            <w:shd w:val="clear" w:color="auto" w:fill="FFFFFF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770BB1FD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5</w:t>
            </w:r>
          </w:p>
        </w:tc>
        <w:tc>
          <w:tcPr>
            <w:tcW w:w="2520" w:type="dxa"/>
            <w:shd w:val="clear" w:color="auto" w:fill="FFFFFF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0F79D47A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核验证据并审阅画像</w:t>
            </w:r>
          </w:p>
        </w:tc>
        <w:tc>
          <w:tcPr>
            <w:tcW w:w="7056" w:type="dxa"/>
            <w:shd w:val="clear" w:color="auto" w:fill="FFFFFF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4E441D63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查看能力画像和报告。</w:t>
            </w:r>
          </w:p>
        </w:tc>
      </w:tr>
      <w:tr w14:paraId="180D7392">
        <w:trPr>
          <w:jc w:val="center"/>
        </w:trPr>
        <w:tc>
          <w:tcPr>
            <w:tcW w:w="792" w:type="dxa"/>
            <w:shd w:val="clear" w:color="auto" w:fill="F3F7FB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3EF5D97C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/>
                <w:color w:val="1F2937"/>
                <w:sz w:val="24"/>
                <w:szCs w:val="24"/>
              </w:rPr>
              <w:t>6</w:t>
            </w:r>
          </w:p>
        </w:tc>
        <w:tc>
          <w:tcPr>
            <w:tcW w:w="2520" w:type="dxa"/>
            <w:shd w:val="clear" w:color="auto" w:fill="F3F7FB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729F040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继续深研并沉淀成果</w:t>
            </w:r>
          </w:p>
        </w:tc>
        <w:tc>
          <w:tcPr>
            <w:tcW w:w="7056" w:type="dxa"/>
            <w:shd w:val="clear" w:color="auto" w:fill="F3F7FB"/>
            <w:tcMar>
              <w:top w:w="52" w:type="dxa"/>
              <w:left w:w="95" w:type="dxa"/>
              <w:bottom w:w="52" w:type="dxa"/>
              <w:right w:w="95" w:type="dxa"/>
            </w:tcMar>
            <w:vAlign w:val="center"/>
          </w:tcPr>
          <w:p w14:paraId="02AF53A1">
            <w:pPr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ascii="Times New Roman" w:hAnsi="Times New Roman" w:eastAsia="Songti SC"/>
                <w:sz w:val="24"/>
                <w:szCs w:val="24"/>
              </w:rPr>
            </w:pPr>
            <w:r>
              <w:rPr>
                <w:rFonts w:ascii="Times New Roman" w:hAnsi="Times New Roman" w:eastAsia="Songti SC"/>
                <w:b w:val="0"/>
                <w:color w:val="1F2937"/>
                <w:sz w:val="24"/>
                <w:szCs w:val="24"/>
              </w:rPr>
              <w:t>提交反馈、定向深研或技术攻关，最后导出并收藏。</w:t>
            </w:r>
          </w:p>
        </w:tc>
      </w:tr>
    </w:tbl>
    <w:p w14:paraId="406CC1E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Songti SC"/>
          <w:sz w:val="28"/>
          <w:szCs w:val="28"/>
        </w:rPr>
      </w:pPr>
      <w:r>
        <w:rPr>
          <w:rFonts w:ascii="Times New Roman" w:hAnsi="Times New Roman" w:eastAsia="Songti SC"/>
          <w:sz w:val="28"/>
          <w:szCs w:val="28"/>
        </w:rPr>
        <w:t>二 登录与导航</w:t>
      </w:r>
    </w:p>
    <w:p w14:paraId="3E2A2331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适用场景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首次进入平台、核对账号身份以及查找功能入口。</w:t>
      </w:r>
    </w:p>
    <w:p w14:paraId="5C9B1CEA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1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在浏览器打开平台地址，在登录账号中输入 UID、用户名或已绑定的唯一手机号，并输入密码。</w:t>
      </w:r>
    </w:p>
    <w:p w14:paraId="24B44AEF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2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勾选用户协议与隐私协议后单击登录。登录成功后通常进入知识总览。</w:t>
      </w:r>
    </w:p>
    <w:p w14:paraId="7D078A5C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3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核对左下角显示的用户名和所属部门，并查看左侧导航中是否有智能对话、研究任务、深研对话、能力画像等入口。入口缺失时联系管理员核对角色和权限。</w:t>
      </w:r>
    </w:p>
    <w:p w14:paraId="3B54588A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4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使用完毕后从左下角用户入口退出登录，尤其是在共享终端上。</w:t>
      </w:r>
    </w:p>
    <w:p w14:paraId="462B261F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完成标志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已进入知识总览，账号信息正确，左侧导航显示当前角色可使用的功能。</w:t>
      </w:r>
    </w:p>
    <w:p w14:paraId="77880769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Songti SC"/>
          <w:sz w:val="28"/>
          <w:szCs w:val="28"/>
        </w:rPr>
      </w:pPr>
      <w:r>
        <w:rPr>
          <w:rFonts w:ascii="Times New Roman" w:hAnsi="Times New Roman" w:eastAsia="Songti SC"/>
          <w:sz w:val="28"/>
          <w:szCs w:val="28"/>
        </w:rPr>
        <w:t>三 智能对话</w:t>
      </w:r>
    </w:p>
    <w:p w14:paraId="0DB7BCFC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适用场景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快速问答、资料分析、方案讨论、写作辅助和研究前的问题澄清。</w:t>
      </w:r>
    </w:p>
    <w:p w14:paraId="77FCAC86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1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从左侧导航进入智能对话。需要按项目保存对话和文件时，先在输入框上方选择项目；临时问答可不选择。</w:t>
      </w:r>
    </w:p>
    <w:p w14:paraId="1E1E3A0F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2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在输入框写明目标、对象、范围和输出形式。推荐写法：请基于指定资料，分析某对象在某场景中的问题，并按要点或表格输出。</w:t>
      </w:r>
    </w:p>
    <w:p w14:paraId="2BD33978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3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输入 @ 引用当前有权限的文件、知识库或技能，也可通过添加内容上传资料。只有完成引用或上传的材料才会进入本次分析范围。</w:t>
      </w:r>
    </w:p>
    <w:p w14:paraId="0DE894A5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4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选择研究助手、工具审批方式和模型后发送。回答不完整时，直接在同一线程补充条件、要求核对来源或调整格式。</w:t>
      </w:r>
    </w:p>
    <w:p w14:paraId="17FE4F04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5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通过左侧项目或最近列表返回历史对话；在右侧文件面板查看本次对话使用或生成的文件。</w:t>
      </w:r>
    </w:p>
    <w:p w14:paraId="5EE79922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完成标志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页面显示有效回答，对话出现在项目或最近列表中，相关文件可在右侧面板打开。</w:t>
      </w:r>
    </w:p>
    <w:p w14:paraId="21095064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Songti SC"/>
          <w:sz w:val="28"/>
          <w:szCs w:val="28"/>
        </w:rPr>
      </w:pPr>
      <w:r>
        <w:rPr>
          <w:rFonts w:ascii="Times New Roman" w:hAnsi="Times New Roman" w:eastAsia="Songti SC"/>
          <w:sz w:val="28"/>
          <w:szCs w:val="28"/>
        </w:rPr>
        <w:t>四 研究任务</w:t>
      </w:r>
    </w:p>
    <w:p w14:paraId="365BB7E2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适用场景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需要多智能体分工、证据链、阶段结果、能力画像和正式研究报告时使用。</w:t>
      </w:r>
    </w:p>
    <w:p w14:paraId="31F4ACE2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1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进入研究任务，在顶部输入研究 Query。</w:t>
      </w:r>
      <w:r>
        <w:rPr>
          <w:rFonts w:hint="eastAsia" w:ascii="Times New Roman" w:hAnsi="Times New Roman" w:eastAsia="Songti SC"/>
          <w:b w:val="0"/>
          <w:color w:val="1F2937"/>
          <w:sz w:val="24"/>
          <w:szCs w:val="24"/>
          <w:lang w:val="en-US" w:eastAsia="zh-CN"/>
        </w:rPr>
        <w:t>也可以选择底下轮动的query直接启动研究任务</w:t>
      </w:r>
    </w:p>
    <w:p w14:paraId="2684CA05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hint="default" w:ascii="Times New Roman" w:hAnsi="Times New Roman" w:eastAsia="Songti SC"/>
          <w:sz w:val="24"/>
          <w:szCs w:val="24"/>
          <w:lang w:val="en-US" w:eastAsia="zh-CN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2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展开补充背景与约束</w:t>
      </w:r>
      <w:r>
        <w:rPr>
          <w:rFonts w:hint="eastAsia" w:ascii="Times New Roman" w:hAnsi="Times New Roman" w:eastAsia="Songti SC"/>
          <w:b w:val="0"/>
          <w:color w:val="1F2937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Songti SC"/>
          <w:b w:val="0"/>
          <w:color w:val="1F2937"/>
          <w:sz w:val="24"/>
          <w:szCs w:val="24"/>
          <w:lang w:val="en-US" w:eastAsia="zh-CN"/>
        </w:rPr>
        <w:t>可选）</w:t>
      </w:r>
    </w:p>
    <w:p w14:paraId="6B783041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hint="default" w:ascii="Times New Roman" w:hAnsi="Times New Roman" w:eastAsia="Songti SC"/>
          <w:sz w:val="24"/>
          <w:szCs w:val="24"/>
          <w:lang w:val="en-US" w:eastAsia="zh-CN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3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选择</w:t>
      </w:r>
      <w:r>
        <w:rPr>
          <w:rFonts w:hint="eastAsia" w:ascii="Times New Roman" w:hAnsi="Times New Roman" w:eastAsia="Songti SC"/>
          <w:b w:val="0"/>
          <w:color w:val="1F2937"/>
          <w:sz w:val="24"/>
          <w:szCs w:val="24"/>
          <w:lang w:val="en-US" w:eastAsia="zh-CN"/>
        </w:rPr>
        <w:t>模型（直接使用默认模型即可）</w:t>
      </w:r>
    </w:p>
    <w:p w14:paraId="6EDA7337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4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单击启动研究。任务创建后，在列表中查看进行中、完成、失败、暂停或取消等状态。</w:t>
      </w:r>
    </w:p>
    <w:p w14:paraId="6162956F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5  </w:t>
      </w:r>
      <w:r>
        <w:rPr>
          <w:rFonts w:hint="eastAsia" w:ascii="Times New Roman" w:hAnsi="Times New Roman" w:eastAsia="Songti SC"/>
          <w:b w:val="0"/>
          <w:color w:val="1F2937"/>
          <w:sz w:val="24"/>
          <w:szCs w:val="24"/>
          <w:lang w:val="en-US" w:eastAsia="zh-CN"/>
        </w:rPr>
        <w:t>任务完成后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查看能力画像和研究报告。</w:t>
      </w:r>
    </w:p>
    <w:p w14:paraId="69E14563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完成标志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任务状态为已完成</w:t>
      </w:r>
      <w:r>
        <w:rPr>
          <w:rFonts w:hint="eastAsia" w:ascii="Times New Roman" w:hAnsi="Times New Roman" w:eastAsia="Songti SC"/>
          <w:b w:val="0"/>
          <w:color w:val="1F2937"/>
          <w:sz w:val="24"/>
          <w:szCs w:val="24"/>
          <w:lang w:eastAsia="zh-CN"/>
        </w:rPr>
        <w:t>，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能力画像或研究报告已经生成。</w:t>
      </w:r>
    </w:p>
    <w:p w14:paraId="5AC252E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Times New Roman" w:hAnsi="Times New Roman" w:eastAsia="Songti SC" w:cs="PingFang SC Semibold"/>
          <w:b/>
          <w:bCs/>
          <w:sz w:val="28"/>
          <w:szCs w:val="28"/>
        </w:rPr>
      </w:pPr>
      <w:r>
        <w:rPr>
          <w:rFonts w:hint="eastAsia" w:ascii="Times New Roman" w:hAnsi="Times New Roman" w:eastAsia="Songti SC" w:cs="PingFang SC Semibold"/>
          <w:b/>
          <w:bCs/>
          <w:sz w:val="28"/>
          <w:szCs w:val="28"/>
        </w:rPr>
        <w:t>五 深研对话</w:t>
      </w:r>
    </w:p>
    <w:p w14:paraId="5A0A828F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hint="default" w:ascii="Times New Roman" w:hAnsi="Times New Roman" w:eastAsia="Songti SC"/>
          <w:b/>
          <w:bCs/>
          <w:sz w:val="24"/>
          <w:szCs w:val="24"/>
          <w:lang w:val="en-US" w:eastAsia="zh-CN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适用场景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在已有研究基础上继续拆解问题，或围绕新质方向开展发散研究。</w:t>
      </w:r>
      <w:r>
        <w:rPr>
          <w:rFonts w:hint="default" w:ascii="Times New Roman" w:hAnsi="Times New Roman" w:eastAsia="Songti SC"/>
          <w:b/>
          <w:bCs/>
          <w:color w:val="1F2937"/>
          <w:sz w:val="24"/>
          <w:szCs w:val="24"/>
          <w:lang w:val="en-US"/>
        </w:rPr>
        <w:t>(</w:t>
      </w:r>
      <w:r>
        <w:rPr>
          <w:rFonts w:hint="eastAsia" w:ascii="Times New Roman" w:hAnsi="Times New Roman" w:eastAsia="Songti SC"/>
          <w:b/>
          <w:bCs/>
          <w:color w:val="1F2937"/>
          <w:sz w:val="24"/>
          <w:szCs w:val="24"/>
          <w:lang w:val="en-US" w:eastAsia="zh-CN"/>
        </w:rPr>
        <w:t>建议在能力画像中针对某一栏进行深研</w:t>
      </w:r>
      <w:r>
        <w:rPr>
          <w:rFonts w:hint="default" w:ascii="Times New Roman" w:hAnsi="Times New Roman" w:eastAsia="Songti SC"/>
          <w:b/>
          <w:bCs/>
          <w:color w:val="1F2937"/>
          <w:sz w:val="24"/>
          <w:szCs w:val="24"/>
          <w:lang w:val="en-US"/>
        </w:rPr>
        <w:t>)</w:t>
      </w:r>
    </w:p>
    <w:p w14:paraId="0AF75455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1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从左侧导航进入深研对话，或在能力画像中单击定向深研、追问或深挖本栏</w:t>
      </w:r>
      <w:r>
        <w:rPr>
          <w:rFonts w:hint="eastAsia" w:ascii="Times New Roman" w:hAnsi="Times New Roman" w:eastAsia="Songti SC"/>
          <w:b w:val="0"/>
          <w:color w:val="1F2937"/>
          <w:sz w:val="24"/>
          <w:szCs w:val="24"/>
          <w:lang w:val="en-US" w:eastAsia="zh-CN"/>
        </w:rPr>
        <w:t>以及技术攻关舱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。</w:t>
      </w:r>
    </w:p>
    <w:p w14:paraId="581F8B30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2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选择所属项目；需要复用已有研究上下文时，再关联对应研究任务。</w:t>
      </w:r>
    </w:p>
    <w:p w14:paraId="5FF57E20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3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选择研究目标。深化当前装备用于继续研究已有对象；发散新质方向用于形成新的候选思路。</w:t>
      </w:r>
    </w:p>
    <w:p w14:paraId="54ECB668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4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填写研讨主题和研究焦点，说明要深挖的任务链、作用机理、装备构型、交战窗口、成本交换或对手反适应等维度。</w:t>
      </w:r>
    </w:p>
    <w:p w14:paraId="5E43C309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5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选择模型和能力画像智能体，按需开启知识库检索与 Subagent 协同，然后创建会话并持续追问。</w:t>
      </w:r>
    </w:p>
    <w:p w14:paraId="768C70DE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完成标志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左侧历史中出现深研会话，并形成可独立查看的深研版本；深研结果不会直接覆盖正式原卡。</w:t>
      </w:r>
    </w:p>
    <w:p w14:paraId="2ABB0AFD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Songti SC"/>
          <w:sz w:val="28"/>
          <w:szCs w:val="28"/>
        </w:rPr>
      </w:pPr>
      <w:r>
        <w:rPr>
          <w:rFonts w:ascii="Times New Roman" w:hAnsi="Times New Roman" w:eastAsia="Songti SC"/>
          <w:sz w:val="28"/>
          <w:szCs w:val="28"/>
        </w:rPr>
        <w:t>六 能力画像</w:t>
      </w:r>
      <w:bookmarkStart w:id="0" w:name="_GoBack"/>
      <w:bookmarkEnd w:id="0"/>
    </w:p>
    <w:p w14:paraId="1F3CBFE9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入口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先选择研究任务，再进入能力画像。每张画像通常包括概述、技术实现、关键流程、形成能力与效果、制胜逻辑机理五栏。</w:t>
      </w:r>
    </w:p>
    <w:p w14:paraId="645EF513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1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阅读与核验：先阅读五栏内容，再查看综合置信度、证据贴合度和前瞻可验证度；重要结论应回到证据中心核对。</w:t>
      </w:r>
    </w:p>
    <w:p w14:paraId="01A7DC68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2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提交反馈：整项任务使用专家审核反馈；单个装备使用针对本卡反馈。填写创新性、需求性、科学可行性、效能性、发展性评分，并补充依据和修改意见。</w:t>
      </w:r>
    </w:p>
    <w:p w14:paraId="555AA6D3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3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继续深研：单击定向深研或追问可带入装备身份和当前卡片；单击深挖本栏只围绕对应栏目继续研究。</w:t>
      </w:r>
    </w:p>
    <w:p w14:paraId="7DF70B03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4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技术攻关：进入技术攻关舱，围绕核心技术、真实卡点、工程实现和验证路线继续研究；已有任务时选择继续技术攻关。</w:t>
      </w:r>
    </w:p>
    <w:p w14:paraId="03DB4013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5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收藏与导出：单击装备卡名称旁的星标保存画像快照；使用顶部入口导出 DOCX、打印或导出 PDF。取消收藏只移除个人快照，不删除原任务。</w:t>
      </w:r>
    </w:p>
    <w:p w14:paraId="53053097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" w:after="4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完成标志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反馈已保存，深研或技术攻关任务可继续打开，收藏中能找到快照，导出文件可正常阅读。</w:t>
      </w:r>
    </w:p>
    <w:p w14:paraId="43C0CD80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Songti SC"/>
          <w:sz w:val="28"/>
          <w:szCs w:val="28"/>
        </w:rPr>
      </w:pPr>
      <w:r>
        <w:rPr>
          <w:rFonts w:ascii="Times New Roman" w:hAnsi="Times New Roman" w:eastAsia="Songti SC"/>
          <w:sz w:val="28"/>
          <w:szCs w:val="28"/>
        </w:rPr>
        <w:t>七 用户管理</w:t>
      </w:r>
    </w:p>
    <w:p w14:paraId="0A254EF7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40"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适用对象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管理员和超级管理员。普通用户看不到企业管理、模型设置和数据总览属于正常权限限制。</w:t>
      </w:r>
    </w:p>
    <w:p w14:paraId="46CABC9E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1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进入企业管理，在用户与部门中建立或维护组织层级。创建子部门前先确认其所属租户和上级部门。</w:t>
      </w:r>
    </w:p>
    <w:p w14:paraId="17CF09DD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2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切换到成员管理，选择部门后单击添加用户，填写用户名、密码、手机号、所属部门和角色；编辑用户时可调整部门或普通用户与管理员角色。</w:t>
      </w:r>
    </w:p>
    <w:p w14:paraId="1E4CB830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3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在功能权限中按租户、部门或指定用户设置读取与写入权限。写入权限必须同时允许读取，功能授权不会扩大用户对他人研究数据的可见范围。</w:t>
      </w:r>
    </w:p>
    <w:p w14:paraId="43AA6B58">
      <w:pPr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24" w:line="240" w:lineRule="auto"/>
        <w:ind w:left="389" w:hanging="389"/>
        <w:textAlignment w:val="auto"/>
        <w:rPr>
          <w:rFonts w:ascii="Times New Roman" w:hAnsi="Times New Roman" w:eastAsia="Songti SC"/>
          <w:sz w:val="24"/>
          <w:szCs w:val="24"/>
        </w:rPr>
      </w:pPr>
      <w:r>
        <w:rPr>
          <w:rFonts w:ascii="Times New Roman" w:hAnsi="Times New Roman" w:eastAsia="Songti SC"/>
          <w:b/>
          <w:color w:val="000000"/>
          <w:sz w:val="24"/>
          <w:szCs w:val="24"/>
        </w:rPr>
        <w:t xml:space="preserve">4  </w:t>
      </w:r>
      <w:r>
        <w:rPr>
          <w:rFonts w:ascii="Times New Roman" w:hAnsi="Times New Roman" w:eastAsia="Songti SC"/>
          <w:b w:val="0"/>
          <w:color w:val="1F2937"/>
          <w:sz w:val="24"/>
          <w:szCs w:val="24"/>
        </w:rPr>
        <w:t>在运行监控中查看研究、Query、深研、知识库和 Agent 的访问量及错误情况；模型和工具用量到数据总览查看。</w:t>
      </w:r>
    </w:p>
    <w:p w14:paraId="348AFC4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ascii="Times New Roman" w:hAnsi="Times New Roman" w:eastAsia="Songti SC"/>
          <w:sz w:val="24"/>
          <w:szCs w:val="24"/>
        </w:rPr>
      </w:pPr>
    </w:p>
    <w:sectPr>
      <w:footerReference r:id="rId5" w:type="default"/>
      <w:pgSz w:w="12240" w:h="15840"/>
      <w:pgMar w:top="691" w:right="936" w:bottom="691" w:left="936" w:header="317" w:footer="31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71AFC9">
    <w:pPr>
      <w:pStyle w:val="24"/>
      <w:spacing w:after="0"/>
      <w:jc w:val="right"/>
    </w:pPr>
    <w:r>
      <w:rPr>
        <w:rFonts w:ascii="Arial" w:hAnsi="Arial" w:eastAsia="PingFang SC"/>
        <w:b w:val="0"/>
        <w:color w:val="6B7280"/>
        <w:sz w:val="14"/>
      </w:rPr>
      <w:t>装备智能研究平台简洁使用说明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3E04D0"/>
    <w:rsid w:val="5DEF726D"/>
    <w:rsid w:val="7FCDB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0" w:line="259" w:lineRule="auto"/>
    </w:pPr>
    <w:rPr>
      <w:rFonts w:ascii="Arial" w:hAnsi="Arial" w:eastAsia="PingFang SC" w:cstheme="minorBidi"/>
      <w:color w:val="1F2937"/>
      <w:sz w:val="18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120" w:after="60"/>
      <w:outlineLvl w:val="0"/>
    </w:pPr>
    <w:rPr>
      <w:rFonts w:asciiTheme="majorHAnsi" w:hAnsiTheme="majorHAnsi" w:eastAsiaTheme="majorEastAsia" w:cstheme="majorBidi"/>
      <w:b/>
      <w:bCs/>
      <w:color w:val="000000"/>
      <w:sz w:val="2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60" w:after="40"/>
      <w:outlineLvl w:val="1"/>
    </w:pPr>
    <w:rPr>
      <w:rFonts w:asciiTheme="majorHAnsi" w:hAnsiTheme="majorHAnsi" w:eastAsiaTheme="majorEastAsia" w:cstheme="majorBidi"/>
      <w:b/>
      <w:bCs/>
      <w:color w:val="000000"/>
      <w:sz w:val="21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8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keywords>智能对话, 研究任务, 深研对话, 能力画像, 用户管理, 快速上手</cp:keywords>
  <cp:lastModifiedBy>WPS_1781090227</cp:lastModifiedBy>
  <dcterms:modified xsi:type="dcterms:W3CDTF">2026-10-08T14:04:53Z</dcterms:modified>
  <dc:subject>新用户快速上手与主要功能操作方法</dc:subject>
  <dc:title>装备智能研究平台简洁使用说明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FFDC121C4CA90DB30D32C76A4B04C723_42</vt:lpwstr>
  </property>
</Properties>
</file>