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eastAsia="Microsoft YaHei" w:hAnsi="Arial"/>
          <w:b/>
          <w:bCs/>
          <w:sz w:val="30"/>
          <w:szCs w:val="30"/>
        </w:rPr>
        <w:t xml:space="preserve">能力画像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2576"/>
        <w:gridCol w:w="2391"/>
        <w:gridCol w:w="3292"/>
        <w:gridCol w:w="3674"/>
        <w:gridCol w:w="3484"/>
        <w:gridCol w:w="3634"/>
        <w:gridCol w:w="3320"/>
      </w:tblGrid>
      <w:tr>
        <w:trPr>
          <w:cantSplit/>
          <w:tblHeader/>
        </w:trPr>
        <w:tc>
          <w:tcPr>
            <w:tcW w:type="dxa" w:w="2576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装备</w:t>
            </w:r>
          </w:p>
        </w:tc>
        <w:tc>
          <w:tcPr>
            <w:tcW w:type="dxa" w:w="2391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能力分类</w:t>
            </w:r>
          </w:p>
        </w:tc>
        <w:tc>
          <w:tcPr>
            <w:tcW w:type="dxa" w:w="3292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概述</w:t>
            </w:r>
          </w:p>
        </w:tc>
        <w:tc>
          <w:tcPr>
            <w:tcW w:type="dxa" w:w="3674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装备与技术实现</w:t>
            </w:r>
          </w:p>
        </w:tc>
        <w:tc>
          <w:tcPr>
            <w:tcW w:type="dxa" w:w="3484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关键作战流程</w:t>
            </w:r>
          </w:p>
        </w:tc>
        <w:tc>
          <w:tcPr>
            <w:tcW w:type="dxa" w:w="3634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形成能力与作战效果</w:t>
            </w:r>
          </w:p>
        </w:tc>
        <w:tc>
          <w:tcPr>
            <w:tcW w:type="dxa" w:w="3320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制胜逻辑</w:t>
            </w:r>
          </w:p>
        </w:tc>
      </w:tr>
      <w:tr>
        <w:trPr>
          <w:cantSplit w:val="false"/>
          <w:tblHeader w:val="false"/>
        </w:trPr>
        <w:tc>
          <w:tcPr>
            <w:tcW w:type="dxa" w:w="25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低空智能蜂群协同侦察与打击平台</w:t>
            </w:r>
          </w:p>
        </w:tc>
        <w:tc>
          <w:tcPr>
            <w:tcW w:type="dxa" w:w="239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侦察感知维度；打击维度；战场控制维度</w:t>
            </w:r>
          </w:p>
        </w:tc>
        <w:tc>
          <w:tcPr>
            <w:tcW w:type="dxa" w:w="32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面向复杂电磁环境和高威胁空域，形成分布式发现、识别、定位、协同决策与多方向持续打击能力。</w:t>
            </w:r>
          </w:p>
        </w:tc>
        <w:tc>
          <w:tcPr>
            <w:tcW w:type="dxa" w:w="36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采用模块化无人机集群、边缘计算节点、抗干扰数据链和任务载荷快速换装结构；通过多源传感器融合、分布式航迹规划与自主编队保持，提升在通信受限条件下的自组织能力。</w:t>
            </w:r>
          </w:p>
        </w:tc>
        <w:tc>
          <w:tcPr>
            <w:tcW w:type="dxa" w:w="34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先由前出节点扩大搜索扇面并完成目标初筛，再由中继节点建立临时网络；集群根据目标价值和威胁等级分配侦察、诱导、压制与打击角色，完成多轴接近、窗口突击和战果复核。</w:t>
            </w:r>
          </w:p>
        </w:tc>
        <w:tc>
          <w:tcPr>
            <w:tcW w:type="dxa" w:w="36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将单平台的有限航程、载荷和生存性转化为集群的空间覆盖、冗余容错和连续施压能力；在敌方防空和通信节点反应前，缩短发现到打击的闭环时间并迫使其分散资源。</w:t>
            </w:r>
          </w:p>
        </w:tc>
        <w:tc>
          <w:tcPr>
            <w:tcW w:type="dxa" w:w="33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以分布式感知换取决策先手，以低成本节点消耗高价值防御资源；通过持续重构编组和多方向突入，放大敌方识别、跟踪和拦截负担。</w:t>
            </w:r>
          </w:p>
        </w:tc>
      </w:tr>
      <w:tr>
        <w:trPr>
          <w:cantSplit w:val="false"/>
          <w:tblHeader w:val="false"/>
        </w:trPr>
        <w:tc>
          <w:tcPr>
            <w:tcW w:type="dxa" w:w="2576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自适应认知电子压制节点</w:t>
            </w:r>
          </w:p>
        </w:tc>
        <w:tc>
          <w:tcPr>
            <w:tcW w:type="dxa" w:w="2391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电子对抗维度；压制维度；拒止维度</w:t>
            </w:r>
          </w:p>
        </w:tc>
        <w:tc>
          <w:tcPr>
            <w:tcW w:type="dxa" w:w="3292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面向敌方雷达、通信和导航链路，形成可感知、可学习、可重构的认知干扰与局部电磁拒止能力。</w:t>
            </w:r>
          </w:p>
        </w:tc>
        <w:tc>
          <w:tcPr>
            <w:tcW w:type="dxa" w:w="367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集成宽带接收机、数字射频存储、功放阵列、干扰效果评估模块和任务级知识库；通过在线信号分类、波形生成和功率调度，适配跳频、低截获概率和组网通信目标。</w:t>
            </w:r>
          </w:p>
        </w:tc>
        <w:tc>
          <w:tcPr>
            <w:tcW w:type="dxa" w:w="348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先对重点频段实施被动侦收和特征提取，再依据威胁排序选择压制方式；干扰节点与火力、无人平台和指挥链协同，动态调整覆盖方向、占空比和功率，完成压制效果评估与策略更新。</w:t>
            </w:r>
          </w:p>
        </w:tc>
        <w:tc>
          <w:tcPr>
            <w:tcW w:type="dxa" w:w="363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把一次性固定参数干扰转化为可持续迭代的电磁对抗闭环，在保持己方通信可用的同时降低敌方感知、指挥和协同效率，为突防与火力行动创造窗口。</w:t>
            </w:r>
          </w:p>
        </w:tc>
        <w:tc>
          <w:tcPr>
            <w:tcW w:type="dxa" w:w="3320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关键在于先理解对手信号体系，再以最小必要功率改变其决策质量；利用认知速度和策略更新速度形成局部时间优势。</w:t>
            </w:r>
          </w:p>
        </w:tc>
      </w:tr>
      <w:tr>
        <w:trPr>
          <w:cantSplit w:val="false"/>
          <w:tblHeader w:val="false"/>
        </w:trPr>
        <w:tc>
          <w:tcPr>
            <w:tcW w:type="dxa" w:w="25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跨域无人补给与战损快速恢复系统</w:t>
            </w:r>
          </w:p>
        </w:tc>
        <w:tc>
          <w:tcPr>
            <w:tcW w:type="dxa" w:w="239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生存抗毁维度；战场控制维度</w:t>
            </w:r>
          </w:p>
        </w:tc>
        <w:tc>
          <w:tcPr>
            <w:tcW w:type="dxa" w:w="32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面向分布式作战单元的弹药、能源、备件和数据补给，形成跨域机动、按需投送与战损快速恢复能力。</w:t>
            </w:r>
          </w:p>
        </w:tc>
        <w:tc>
          <w:tcPr>
            <w:tcW w:type="dxa" w:w="36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由无人地面车、无人艇、垂直起降补给机、智能仓储和任务数据平台组成；采用统一接口、数字孪生库存和风险感知路线规划，实现异构平台协同配送和临机改派。</w:t>
            </w:r>
          </w:p>
        </w:tc>
        <w:tc>
          <w:tcPr>
            <w:tcW w:type="dxa" w:w="34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根据作战单元状态、消耗速度和敌情变化预测补给缺口；系统选择隐蔽路线和多批次投送方式，完成前送、接驳、卸载、回收与状态回传，必要时切换为分散缓存和空投模式。</w:t>
            </w:r>
          </w:p>
        </w:tc>
        <w:tc>
          <w:tcPr>
            <w:tcW w:type="dxa" w:w="36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把后勤链从固定节点支撑转为可重构网络支撑，缩短战损单元恢复时间，维持关键方向的持续作战节奏并提高体系抗打击能力。</w:t>
            </w:r>
          </w:p>
        </w:tc>
        <w:tc>
          <w:tcPr>
            <w:tcW w:type="dxa" w:w="33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以补给链的可见性和可重构性对冲敌方纵深打击；用多域冗余和分布式库存避免单点瘫痪。</w:t>
            </w:r>
          </w:p>
        </w:tc>
      </w:tr>
      <w:tr>
        <w:trPr>
          <w:cantSplit w:val="false"/>
          <w:tblHeader w:val="false"/>
        </w:trPr>
        <w:tc>
          <w:tcPr>
            <w:tcW w:type="dxa" w:w="2576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超视距协同拦截与末端防护单元</w:t>
            </w:r>
          </w:p>
        </w:tc>
        <w:tc>
          <w:tcPr>
            <w:tcW w:type="dxa" w:w="2391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拦截维度；预警维度；生存抗毁维度</w:t>
            </w:r>
          </w:p>
        </w:tc>
        <w:tc>
          <w:tcPr>
            <w:tcW w:type="dxa" w:w="3292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面向高速、低可探测和多批次来袭目标，形成远近结合、分层响应和末端补漏的协同防护能力。</w:t>
            </w:r>
          </w:p>
        </w:tc>
        <w:tc>
          <w:tcPr>
            <w:tcW w:type="dxa" w:w="367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融合低轨预警、地面被动探测、主动雷达、红外跟踪和可扩展拦截弹族；以统一火控接口和边缘推理节点支撑多传感器航迹融合与武器分配。</w:t>
            </w:r>
          </w:p>
        </w:tc>
        <w:tc>
          <w:tcPr>
            <w:tcW w:type="dxa" w:w="348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预警节点提前建立航迹并估计目标意图，区域节点完成威胁分级和拦截窗口计算；多单元按射界、剩余弹量和成功概率分配射击任务，末端节点负责漏网目标复核与再拦截。</w:t>
            </w:r>
          </w:p>
        </w:tc>
        <w:tc>
          <w:tcPr>
            <w:tcW w:type="dxa" w:w="363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通过扩大预警纵深和分散拦截责任，提升复杂目标集群下的体系覆盖率；在局部节点受损时仍可保持关键区域的最低防护能力。</w:t>
            </w:r>
          </w:p>
        </w:tc>
        <w:tc>
          <w:tcPr>
            <w:tcW w:type="dxa" w:w="3320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以多层传感器和多节点火力形成时间冗余，把敌方突防优势压缩在可管理的局部窗口内。</w:t>
            </w:r>
          </w:p>
        </w:tc>
      </w:tr>
      <w:tr>
        <w:trPr>
          <w:cantSplit w:val="false"/>
          <w:tblHeader w:val="false"/>
        </w:trPr>
        <w:tc>
          <w:tcPr>
            <w:tcW w:type="dxa" w:w="25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海空一体隐蔽通信中继平台</w:t>
            </w:r>
          </w:p>
        </w:tc>
        <w:tc>
          <w:tcPr>
            <w:tcW w:type="dxa" w:w="2391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侦察感知维度；战场控制维度；拒止维度</w:t>
            </w:r>
          </w:p>
        </w:tc>
        <w:tc>
          <w:tcPr>
            <w:tcW w:type="dxa" w:w="32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面向跨域编组在复杂地形和强干扰环境下的协同通信，形成按需组网、链路自愈和低特征传输能力。</w:t>
            </w:r>
          </w:p>
        </w:tc>
        <w:tc>
          <w:tcPr>
            <w:tcW w:type="dxa" w:w="367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采用海上无人艇、系留气球、旋翼无人机和软件定义电台组合；以多跳路由、定向波束、低功率突发传输和密钥快速更新保持链路可用。</w:t>
            </w:r>
          </w:p>
        </w:tc>
        <w:tc>
          <w:tcPr>
            <w:tcW w:type="dxa" w:w="348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根据编组位置和威胁态势选择中继层级，先建立最小可用链路，再按任务优先级扩展带宽；出现节点失联时自动重选路由并转移关键控制信息。</w:t>
            </w:r>
          </w:p>
        </w:tc>
        <w:tc>
          <w:tcPr>
            <w:tcW w:type="dxa" w:w="363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提高分散兵力的协同稳定性和抗毁性，减少固定通信节点暴露；让侦察、火力和补给单元在链路受限时仍能维持关键任务同步。</w:t>
            </w:r>
          </w:p>
        </w:tc>
        <w:tc>
          <w:tcPr>
            <w:tcW w:type="dxa" w:w="33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不追求全时高带宽，而是保持关键决策和任务状态的可达性；通过链路冗余与低特征传输延长体系隐蔽窗口。</w:t>
            </w:r>
          </w:p>
        </w:tc>
      </w:tr>
      <w:tr>
        <w:trPr>
          <w:cantSplit w:val="false"/>
          <w:tblHeader w:val="false"/>
        </w:trPr>
        <w:tc>
          <w:tcPr>
            <w:tcW w:type="dxa" w:w="2576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自主水下侦察与布设作业系统</w:t>
            </w:r>
          </w:p>
        </w:tc>
        <w:tc>
          <w:tcPr>
            <w:tcW w:type="dxa" w:w="2391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侦察感知维度；拒止维度；战场控制维度</w:t>
            </w:r>
          </w:p>
        </w:tc>
        <w:tc>
          <w:tcPr>
            <w:tcW w:type="dxa" w:w="3292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面向浅海、港口和关键航道，形成长航时隐蔽侦察、海底目标识别和快速布设作业能力。</w:t>
            </w:r>
          </w:p>
        </w:tc>
        <w:tc>
          <w:tcPr>
            <w:tcW w:type="dxa" w:w="367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集成低噪推进器、合成孔径声呐、磁异常传感器、惯性导航和可更换作业模块；依靠水下自主规划、间歇式通信和海底地图更新完成任务闭环。</w:t>
            </w:r>
          </w:p>
        </w:tc>
        <w:tc>
          <w:tcPr>
            <w:tcW w:type="dxa" w:w="348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平台按风险等级分配搜索航线，先完成区域建图和异常检测，再对重点目标实施近距确认；必要时布设传感器、标记器或阻滞装置，并在窗口期内隐蔽撤离。</w:t>
            </w:r>
          </w:p>
        </w:tc>
        <w:tc>
          <w:tcPr>
            <w:tcW w:type="dxa" w:w="3634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在不暴露大型平台的情况下持续积累海域态势信息，提升关键水道的监视、预警和局部拒止能力，为后续水面和空中行动提供先手。</w:t>
            </w:r>
          </w:p>
        </w:tc>
        <w:tc>
          <w:tcPr>
            <w:tcW w:type="dxa" w:w="3320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利用隐蔽接近和持久存在制造不对称的信息压力；通过低通信依赖和任务模块更换保持行动弹性。</w:t>
            </w:r>
          </w:p>
        </w:tc>
      </w:tr>
    </w:tbl>
    <w:p>
      <w:pPr>
        <w:pageBreakBefore/>
      </w:pPr>
      <w:r>
        <w:rPr>
          <w:b/>
          <w:bCs/>
          <w:sz w:val="24"/>
          <w:szCs w:val="24"/>
        </w:rPr>
        <w:t xml:space="preserve">参考装备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4922"/>
        <w:gridCol w:w="17449"/>
      </w:tblGrid>
      <w:tr>
        <w:trPr>
          <w:cantSplit/>
          <w:tblHeader/>
        </w:trPr>
        <w:tc>
          <w:tcPr>
            <w:tcW w:type="dxa" w:w="4922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参考装备</w:t>
            </w:r>
          </w:p>
        </w:tc>
        <w:tc>
          <w:tcPr>
            <w:tcW w:type="dxa" w:w="17449"/>
            <w:shd w:fill="EAF0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概述</w:t>
            </w:r>
          </w:p>
        </w:tc>
      </w:tr>
      <w:tr>
        <w:trPr>
          <w:cantSplit w:val="false"/>
          <w:tblHeader w:val="false"/>
        </w:trPr>
        <w:tc>
          <w:tcPr>
            <w:tcW w:type="dxa" w:w="49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蜂群无人机集群</w:t>
            </w:r>
          </w:p>
        </w:tc>
        <w:tc>
          <w:tcPr>
            <w:tcW w:type="dxa" w:w="174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参考现役蜂群无人机与协同控制技术，侧重分布式感知、编组和低成本消耗。</w:t>
            </w:r>
          </w:p>
        </w:tc>
      </w:tr>
      <w:tr>
        <w:trPr>
          <w:cantSplit w:val="false"/>
          <w:tblHeader w:val="false"/>
        </w:trPr>
        <w:tc>
          <w:tcPr>
            <w:tcW w:type="dxa" w:w="4922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认知电子战吊舱</w:t>
            </w:r>
          </w:p>
        </w:tc>
        <w:tc>
          <w:tcPr>
            <w:tcW w:type="dxa" w:w="17449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参考软件定义电子战载荷和数字射频存储技术，侧重信号学习、干扰重构与效果评估。</w:t>
            </w:r>
          </w:p>
        </w:tc>
      </w:tr>
      <w:tr>
        <w:trPr>
          <w:cantSplit w:val="false"/>
          <w:tblHeader w:val="false"/>
        </w:trPr>
        <w:tc>
          <w:tcPr>
            <w:tcW w:type="dxa" w:w="49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无人补给车与补给无人机</w:t>
            </w:r>
          </w:p>
        </w:tc>
        <w:tc>
          <w:tcPr>
            <w:tcW w:type="dxa" w:w="174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参考无人运输平台和末端补给网络，侧重多域投送、库存可视化和临机改派。</w:t>
            </w:r>
          </w:p>
        </w:tc>
      </w:tr>
      <w:tr>
        <w:trPr>
          <w:cantSplit w:val="false"/>
          <w:tblHeader w:val="false"/>
        </w:trPr>
        <w:tc>
          <w:tcPr>
            <w:tcW w:type="dxa" w:w="4922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分层防空拦截系统</w:t>
            </w:r>
          </w:p>
        </w:tc>
        <w:tc>
          <w:tcPr>
            <w:tcW w:type="dxa" w:w="17449"/>
            <w:shd w:fill="FBFCFF" w:val="solid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参考多层防空体系和协同火控技术，侧重预警、拦截和末端防护的分层衔接。</w:t>
            </w:r>
          </w:p>
        </w:tc>
      </w:tr>
      <w:tr>
        <w:trPr>
          <w:cantSplit w:val="false"/>
          <w:tblHeader w:val="false"/>
        </w:trPr>
        <w:tc>
          <w:tcPr>
            <w:tcW w:type="dxa" w:w="492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水下自主航行器</w:t>
            </w:r>
          </w:p>
        </w:tc>
        <w:tc>
          <w:tcPr>
            <w:tcW w:type="dxa" w:w="174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参考自主水下航行器及海底传感器布设能力，侧重隐蔽侦察与持续存在。</w:t>
            </w:r>
          </w:p>
        </w:tc>
      </w:tr>
    </w:tbl>
    <w:sectPr>
      <w:pgSz w:w="23811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2026-09-07T04:07:09.599Z</dcterms:created>
  <dcterms:modified xsi:type="dcterms:W3CDTF">2026-09-07T04:07:09.602Z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