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引言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0340" cy="2960370"/>
            <wp:effectExtent l="0" t="0" r="635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960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6690" cy="395033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一、简介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0500" cy="3549650"/>
            <wp:effectExtent l="0" t="0" r="317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4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Redis 主要通过网络框架进行访问，而不再是动态库了，这也使得 Redis 可以作为一个基础性的网络服务进行访问，扩大了 Redis 的应用范围。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Redis 数据模型中的 value 类型很丰富，因此也带来了更多的操作接口，例如面向列表的 LPUSH/LPOP，面向集合的 SADD/SREM 等。在下节课，我将和你聊聊这些 value 模型背后的数据结构和操作效率，以及它们对 Redis 性能的影响。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Redis 的持久化模块能支持两种方式：日志（AOF）和快照（RDB），这两种持久化方式具有不同的优劣势，影响到 Redis 的访问性能和可靠性。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SimpleKV 是个简单的单机键值数据库，但是，Redis 支持高可靠集群和高可扩展集群，因此，Redis 中包含了相应的集群功能支撑模块。</w:t>
      </w:r>
    </w:p>
    <w:p>
      <w:pPr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Wingdings"/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Arial"/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黑体"/>
    <w:panose1 w:val="02010609060101010101"/>
    <w:charset w:val="00"/>
    <w:family w:val="auto"/>
    <w:pitch w:val="default"/>
    <w:sig w:usb0="800002BF" w:usb1="38CF7CFA" w:usb2="00000016" w:usb3="00000000" w:csb0="00040001" w:csb1="00000000"/>
  </w:font>
  <w:font w:name="Courier New">
    <w:altName w:val="Courier New"/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Symbol">
    <w:altName w:val="Symbol"/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panose1 w:val="020F0502020204030204"/>
    <w:charset w:val="00"/>
    <w:family w:val="swiss"/>
    <w:pitch w:val="default"/>
    <w:sig w:usb0="00000000" w:usb1="00000000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Office_0.0.0.0_F1E327BC-269C-435d-A152-05C5408002CA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2021-05-14T22:07:08Z</dcterms:created>
  <dc:creator>淦的iPad Air</dc:creator>
  <cp:lastModifiedBy>淦的iPad Air</cp:lastModifiedBy>
  <dcterms:modified xsi:type="dcterms:W3CDTF">2021-05-14T22:07:44Z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2052-11.7.0</vt:lpwstr>
  </property>
  <property fmtid="{D5CDD505-2E9C-101B-9397-08002B2CF9AE}" pid="3" name="ICV">
    <vt:lpwstr>0C1E095C98205E6B0C849E60D53ACB2A</vt:lpwstr>
  </property>
</Properties>
</file>