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新智慧只读-api-抓取结果"/>
    <w:p>
      <w:pPr>
        <w:pStyle w:val="Heading1"/>
      </w:pPr>
      <w:r>
        <w:t xml:space="preserve">新智慧只读 API 抓取结果</w:t>
      </w:r>
    </w:p>
    <w:p>
      <w:pPr>
        <w:pStyle w:val="FirstParagraph"/>
      </w:pPr>
      <w:r>
        <w:t xml:space="preserve">抓取时间：2026-05-06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本轮使用授权账号登录新智慧，只打开页面并记录页面自动发出的 XHR/fetch 请求，没有点击新增、保存、删除、审核、导入、导出、生成、同步等业务动作。</w:t>
      </w:r>
    </w:p>
    <w:p>
      <w:pPr>
        <w:pStyle w:val="BodyText"/>
      </w:pPr>
      <w:r>
        <w:t xml:space="preserve">已完成两类抓取：</w:t>
      </w:r>
    </w:p>
    <w:p>
      <w:pPr>
        <w:numPr>
          <w:ilvl w:val="0"/>
          <w:numId w:val="1001"/>
        </w:numPr>
        <w:pStyle w:val="Compact"/>
      </w:pPr>
      <w:r>
        <w:t xml:space="preserve">菜单结构抓取：抽取到 109 个菜单/动作节点。</w:t>
      </w:r>
    </w:p>
    <w:p>
      <w:pPr>
        <w:numPr>
          <w:ilvl w:val="0"/>
          <w:numId w:val="1001"/>
        </w:numPr>
        <w:pStyle w:val="Compact"/>
      </w:pPr>
      <w:r>
        <w:t xml:space="preserve">全菜单页面抓取：访问 88 个可读页面，捕获 88 个自动加载端点。</w:t>
      </w:r>
    </w:p>
    <w:p>
      <w:pPr>
        <w:pStyle w:val="FirstParagraph"/>
      </w:pPr>
      <w:r>
        <w:t xml:space="preserve">原始抓取结果保存在本机临时目录：</w:t>
      </w:r>
    </w:p>
    <w:p>
      <w:pPr>
        <w:numPr>
          <w:ilvl w:val="0"/>
          <w:numId w:val="1002"/>
        </w:numPr>
        <w:pStyle w:val="Compact"/>
      </w:pPr>
      <w:r>
        <w:t xml:space="preserve">菜单 JSON：</w:t>
      </w:r>
      <w:r>
        <w:rPr>
          <w:rStyle w:val="VerbatimChar"/>
        </w:rPr>
        <w:t xml:space="preserve">/tmp/xqt-xzh-crawl/output/2026-05-06T05-50-44-341Z</w:t>
      </w:r>
    </w:p>
    <w:p>
      <w:pPr>
        <w:numPr>
          <w:ilvl w:val="0"/>
          <w:numId w:val="1002"/>
        </w:numPr>
        <w:pStyle w:val="Compact"/>
      </w:pPr>
      <w:r>
        <w:t xml:space="preserve">全菜单接口：</w:t>
      </w:r>
      <w:r>
        <w:rPr>
          <w:rStyle w:val="VerbatimChar"/>
        </w:rPr>
        <w:t xml:space="preserve">/tmp/xqt-xzh-crawl/output/2026-05-06T07-26-26-618Z</w:t>
      </w:r>
    </w:p>
    <w:p>
      <w:pPr>
        <w:numPr>
          <w:ilvl w:val="0"/>
          <w:numId w:val="1002"/>
        </w:numPr>
        <w:pStyle w:val="Compact"/>
      </w:pPr>
      <w:r>
        <w:t xml:space="preserve">核心页面接口：</w:t>
      </w:r>
      <w:r>
        <w:rPr>
          <w:rStyle w:val="VerbatimChar"/>
        </w:rPr>
        <w:t xml:space="preserve">/tmp/xqt-xzh-crawl/output/2026-05-06T07-21-16-950Z</w:t>
      </w:r>
    </w:p>
    <w:p>
      <w:pPr>
        <w:pStyle w:val="FirstParagraph"/>
      </w:pPr>
      <w:r>
        <w:t xml:space="preserve">输出中未保留账号密码值，只保留请求字段名和响应结构。</w:t>
      </w:r>
    </w:p>
    <w:p>
      <w:pPr>
        <w:pStyle w:val="BodyText"/>
      </w:pPr>
      <w:r>
        <w:t xml:space="preserve">开发使用规则：</w:t>
      </w:r>
    </w:p>
    <w:p>
      <w:pPr>
        <w:numPr>
          <w:ilvl w:val="0"/>
          <w:numId w:val="1003"/>
        </w:numPr>
        <w:pStyle w:val="Compact"/>
      </w:pPr>
      <w:r>
        <w:t xml:space="preserve">本文档只作为新智慧页面和只读接口的对照证据，不作为新平台生产运行依赖。</w:t>
      </w:r>
    </w:p>
    <w:p>
      <w:pPr>
        <w:numPr>
          <w:ilvl w:val="0"/>
          <w:numId w:val="1003"/>
        </w:numPr>
        <w:pStyle w:val="Compact"/>
      </w:pPr>
      <w:r>
        <w:t xml:space="preserve">新平台目标接口必须使用 Spring Boot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，响应统一为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XQT 字段通过</w:t>
      </w:r>
      <w:r>
        <w:t xml:space="preserve"> </w:t>
      </w:r>
      <w:r>
        <w:rPr>
          <w:rStyle w:val="VerbatimChar"/>
        </w:rPr>
        <w:t xml:space="preserve">external_field_mappings</w:t>
      </w:r>
      <w:r>
        <w:t xml:space="preserve"> </w:t>
      </w:r>
      <w:r>
        <w:t xml:space="preserve">做映射，不直接污染主业务模型。</w:t>
      </w:r>
    </w:p>
    <w:p>
      <w:pPr>
        <w:numPr>
          <w:ilvl w:val="0"/>
          <w:numId w:val="1003"/>
        </w:numPr>
        <w:pStyle w:val="Compact"/>
      </w:pPr>
      <w:r>
        <w:t xml:space="preserve">所有写接口必须按 Controller -&gt; Service -&gt; Repository 分层，并写入 token 操作人和审计日志。</w:t>
      </w:r>
    </w:p>
    <w:bookmarkEnd w:id="20"/>
    <w:bookmarkStart w:id="21" w:name="请求规律"/>
    <w:p>
      <w:pPr>
        <w:pStyle w:val="Heading2"/>
      </w:pPr>
      <w:r>
        <w:t xml:space="preserve">请求规律</w:t>
      </w:r>
    </w:p>
    <w:p>
      <w:pPr>
        <w:pStyle w:val="FirstParagraph"/>
      </w:pPr>
      <w:r>
        <w:t xml:space="preserve">新智慧后台页面主要采用以下规则：</w:t>
      </w:r>
    </w:p>
    <w:p>
      <w:pPr>
        <w:numPr>
          <w:ilvl w:val="0"/>
          <w:numId w:val="1004"/>
        </w:numPr>
        <w:pStyle w:val="Compact"/>
      </w:pPr>
      <w:r>
        <w:t xml:space="preserve">页面路径：</w:t>
      </w:r>
      <w:r>
        <w:rPr>
          <w:rStyle w:val="VerbatimChar"/>
        </w:rPr>
        <w:t xml:space="preserve">/tms/{domain}/{module}</w:t>
      </w:r>
    </w:p>
    <w:p>
      <w:pPr>
        <w:numPr>
          <w:ilvl w:val="0"/>
          <w:numId w:val="1004"/>
        </w:numPr>
        <w:pStyle w:val="Compact"/>
      </w:pPr>
      <w:r>
        <w:t xml:space="preserve">列表接口：</w:t>
      </w:r>
      <w:r>
        <w:rPr>
          <w:rStyle w:val="VerbatimChar"/>
        </w:rPr>
        <w:t xml:space="preserve">POST /rest/tms/{domain}/{module}/lists</w:t>
      </w:r>
    </w:p>
    <w:p>
      <w:pPr>
        <w:numPr>
          <w:ilvl w:val="0"/>
          <w:numId w:val="1004"/>
        </w:numPr>
        <w:pStyle w:val="Compact"/>
      </w:pPr>
      <w:r>
        <w:t xml:space="preserve">菜单接口：</w:t>
      </w:r>
      <w:r>
        <w:rPr>
          <w:rStyle w:val="VerbatimChar"/>
        </w:rPr>
        <w:t xml:space="preserve">GET /rest/tms/aos/common/menu</w:t>
      </w:r>
    </w:p>
    <w:p>
      <w:pPr>
        <w:numPr>
          <w:ilvl w:val="0"/>
          <w:numId w:val="1004"/>
        </w:numPr>
        <w:pStyle w:val="Compact"/>
      </w:pPr>
      <w:r>
        <w:t xml:space="preserve">常见列表请求字段：</w:t>
      </w:r>
      <w:r>
        <w:rPr>
          <w:rStyle w:val="VerbatimChar"/>
        </w:rPr>
        <w:t xml:space="preserve">scenes</w:t>
      </w:r>
      <w:r>
        <w:t xml:space="preserve">、</w:t>
      </w:r>
      <w:r>
        <w:rPr>
          <w:rStyle w:val="VerbatimChar"/>
        </w:rPr>
        <w:t xml:space="preserve">timeLimit</w:t>
      </w:r>
    </w:p>
    <w:p>
      <w:pPr>
        <w:numPr>
          <w:ilvl w:val="0"/>
          <w:numId w:val="1004"/>
        </w:numPr>
        <w:pStyle w:val="Compact"/>
      </w:pPr>
      <w:r>
        <w:t xml:space="preserve">多数列表接口响应为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04"/>
        </w:numPr>
        <w:pStyle w:val="Compact"/>
      </w:pPr>
      <w:r>
        <w:t xml:space="preserve">部分配置页或旧页面返回</w:t>
      </w:r>
      <w:r>
        <w:t xml:space="preserve"> </w:t>
      </w:r>
      <w:r>
        <w:rPr>
          <w:rStyle w:val="VerbatimChar"/>
        </w:rPr>
        <w:t xml:space="preserve">text/html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csos</w:t>
      </w:r>
      <w:r>
        <w:t xml:space="preserve"> </w:t>
      </w:r>
      <w:r>
        <w:t xml:space="preserve">更偏客户单据、运单、提单、货箱、用户、合同。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aos</w:t>
      </w:r>
      <w:r>
        <w:t xml:space="preserve"> </w:t>
      </w:r>
      <w:r>
        <w:t xml:space="preserve">更偏财务、主数据、规则、系统配置。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dos</w:t>
      </w:r>
      <w:r>
        <w:t xml:space="preserve"> </w:t>
      </w:r>
      <w:r>
        <w:t xml:space="preserve">更偏仓库作业。</w:t>
      </w:r>
    </w:p>
    <w:bookmarkEnd w:id="21"/>
    <w:bookmarkStart w:id="22" w:name="核心数据流端点"/>
    <w:p>
      <w:pPr>
        <w:pStyle w:val="Heading2"/>
      </w:pPr>
      <w:r>
        <w:t xml:space="preserve">核心数据流端点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业务域</w:t>
            </w:r>
          </w:p>
        </w:tc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/tms/csos/shipment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/rest/tms/csos/shipment/lists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/tms/csos/waybill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/rest/tms/csos/waybill/lists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/tms/csos/parcel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/rest/tms/csos/parcel/lists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快递单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/tms/csos/outer_shipment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/rest/tms/csos/outer_shipment/lists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保险单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/tms/csos/insure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/rest/tms/csos/insure/lists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轨迹跟踪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/tms/csos/trajectory_tracking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/rest/tms/csos/trajectory_tracking/lists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/tms/aos/financial_detail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/rest/tms/aos/financial_detail/lists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/tms/aos/shipment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/rest/tms/aos/shipment/lists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/tms/aos/user_report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/rest/tms/aos/user_report/lists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/tms/aos/partner_report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/rest/tms/aos/partner_report/lists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/tms/aos/invoice_partner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/rest/tms/aos/invoice_partner/lists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/tms/aos/rates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/rest/tms/aos/rates/lists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/tms/aos/charge_type_mod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/rest/tms/aos/charge_type_mod/lists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仓库收货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/tms/dos/picklist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/rest/tms/dos/picklist/lists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仓库出货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/tms/dos/lading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/rest/tms/dos/lading/lists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托盘管理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/tms/dos/pallet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/rest/tms/dos/pallet/lists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小包装箱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/tms/dos/packing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/rest/tms/dos/packing/lists</w:t>
            </w:r>
          </w:p>
        </w:tc>
      </w:tr>
    </w:tbl>
    <w:bookmarkEnd w:id="22"/>
    <w:bookmarkStart w:id="28" w:name="全菜单列表端点"/>
    <w:p>
      <w:pPr>
        <w:pStyle w:val="Heading2"/>
      </w:pPr>
      <w:r>
        <w:t xml:space="preserve">全菜单列表端点</w:t>
      </w:r>
    </w:p>
    <w:bookmarkStart w:id="23" w:name="单据--客户侧"/>
    <w:p>
      <w:pPr>
        <w:pStyle w:val="Heading3"/>
      </w:pPr>
      <w:r>
        <w:t xml:space="preserve">单据 / 客户侧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/rest/tms/csos/waybill/lists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/rest/tms/csos/ticket/lists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快递单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/rest/tms/csos/outer_shipment/lists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保险单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/rest/tms/csos/insure/lists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预约取件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/rest/tms/csos/booking/lists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/rest/tms/csos/declaration/lists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/rest/tms/csos/parcel/lists</w:t>
            </w:r>
          </w:p>
        </w:tc>
        <w:tc>
          <w:p>
            <w:pPr>
              <w:pStyle w:val="Compact"/>
              <w:jc w:val="left"/>
            </w:pPr>
            <w:r>
              <w:t xml:space="preserve">待复探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/rest/tms/csos/packet/lists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查货集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/rest/tms/csos/aggregate/lists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/rest/tms/csos/product/lists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POD 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/rest/tms/csos/pod/lists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轨迹跟踪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/rest/tms/csos/trajectory_tracking/lists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3"/>
    <w:bookmarkStart w:id="24" w:name="用户--合同"/>
    <w:p>
      <w:pPr>
        <w:pStyle w:val="Heading3"/>
      </w:pPr>
      <w:r>
        <w:t xml:space="preserve">用户 / 合同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/rest/tms/csos/user/lists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/rest/tms/csos/user_grade/lists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/rest/tms/csos/contract/lists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/rest/tms/csos/user_search/lists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/rest/tms/csos/pay_type_mod/lists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 对接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/rest/tms/csos/user_api/lists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4"/>
    <w:bookmarkStart w:id="25" w:name="财务"/>
    <w:p>
      <w:pPr>
        <w:pStyle w:val="Heading3"/>
      </w:pPr>
      <w:r>
        <w:t xml:space="preserve">财务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/rest/tms/aos/financial_detail/lists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/rest/tms/aos/user_report/lists</w:t>
            </w:r>
          </w:p>
        </w:tc>
        <w:tc>
          <w:p>
            <w:pPr>
              <w:pStyle w:val="Compact"/>
              <w:jc w:val="left"/>
            </w:pPr>
            <w:r>
              <w:t xml:space="preserve">待复探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/rest/tms/aos/partner_report/lists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/rest/tms/aos/rates/lists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/rest/tms/aos/invoice_detail/lists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/rest/tms/aos/detail_partner/lists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/rest/tms/aos/invoice_partner/lists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销售成本流水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/rest/tms/aos/detail_seller/lists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/rest/tms/aos/detail_seller_commission/lists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/rest/tms/aos/invoice_seller_commission/lists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/rest/tms/aos/financial_account/lists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/rest/tms/aos/financial_account_record/lists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/rest/tms/aos/currency/lists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/rest/tms/aos/charge_type_mod/lists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月结单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/rest/tms/aos/lock_invoice_time/lists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/rest/tms/aos/charge_approval/lists</w:t>
            </w:r>
          </w:p>
        </w:tc>
        <w:tc>
          <w:p>
            <w:pPr>
              <w:pStyle w:val="Compact"/>
              <w:jc w:val="left"/>
            </w:pPr>
            <w:r>
              <w:t xml:space="preserve">待复探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/rest/tms/aos/approval/lists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5"/>
    <w:bookmarkStart w:id="26" w:name="仓库"/>
    <w:p>
      <w:pPr>
        <w:pStyle w:val="Heading3"/>
      </w:pPr>
      <w:r>
        <w:t xml:space="preserve">仓库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仓库收货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/rest/tms/dos/picklist/lists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仓库出货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/rest/tms/dos/lading/lists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托盘管理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/rest/tms/dos/pallet/lists</w:t>
            </w:r>
          </w:p>
        </w:tc>
        <w:tc>
          <w:p>
            <w:pPr>
              <w:pStyle w:val="Compact"/>
              <w:jc w:val="left"/>
            </w:pPr>
            <w:r>
              <w:t xml:space="preserve">待复探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打托派送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/rest/tms/dos/pallet_delivery/lists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小包换标日志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/rest/tms/dos/b2c_scan_log/lists</w:t>
            </w:r>
          </w:p>
        </w:tc>
        <w:tc>
          <w:p>
            <w:pPr>
              <w:pStyle w:val="Compact"/>
              <w:jc w:val="left"/>
            </w:pPr>
            <w:r>
              <w:t xml:space="preserve">待复探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小包装箱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/rest/tms/dos/packing/lists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常用标签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/rest/tms/dos/barcode/lists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拣货日志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/rest/tms/dos/pickuplog/lists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6"/>
    <w:bookmarkStart w:id="27" w:name="统计--主数据--系统"/>
    <w:p>
      <w:pPr>
        <w:pStyle w:val="Heading3"/>
      </w:pPr>
      <w:r>
        <w:t xml:space="preserve">统计 / 主数据 / 系统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货量统计新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/rest/tms/aos/new_statistics/lists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货量标签统计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/rest/tms/aos/statistics_label/lists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配货标签统计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/rest/tms/aos/statistics_label_dist/lists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/rest/tms/aos/service/lists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/rest/tms/aos/company/lists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线路分类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/rest/tms/aos/line/lists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区域划分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/rest/tms/aos/zone/lists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货站/仓库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/rest/tms/aos/depot/lists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机场/港口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/rest/tms/aos/location/lists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对接配置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/rest/tms/aos/api_account/lists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数据映射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/rest/tms/aos/api_mapping/lists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快递分区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/rest/tms/aos/carrier_zone/lists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号段维护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/rest/tms/aos/segment_number/lists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地址库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/rest/tms/aos/addr_lib/lists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事件&amp;规则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/rest/tms/aos/rule_match/lists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舱位线路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/rest/tms/aos/cabin_line/lists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舱位资源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/rest/tms/aos/cabin_resource/lists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/rest/tms/aos/gps/lists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超长超重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/rest/tms/aos/over_size/lists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/rest/tms/aos/setting/base_form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/rest/tms/aos/module/menu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/rest/tms/aos/oplog/lists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后台任务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/rest/tms/aos/task/lists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数据模板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/rest/tms/aos/data_template/lists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打印模板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/rest/tms/aos/template/lists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快捷复制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/rest/tms/aos/quick_copy/lists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/rest/tms/aos/tag/lists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电池标识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/rest/tms/aos/battery/lists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智能设备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/rest/tms/aos/device/lists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税金计算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/rest/tms/aos/taxes/lists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/rest/tms/aos/staff/lists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组织架构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/rest/tms/aos/organization/lists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员工角色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/rest/tms/aos/staff_role/lists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运费计算器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/rest/tms/aos/calculator/lists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偏远查询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/rest/tms/aos/check_remote/lists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/rest/tms/aos/profile/user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7"/>
    <w:bookmarkEnd w:id="28"/>
    <w:bookmarkStart w:id="29" w:name="需要复探的端点"/>
    <w:p>
      <w:pPr>
        <w:pStyle w:val="Heading2"/>
      </w:pPr>
      <w:r>
        <w:t xml:space="preserve">需要复探的端点</w:t>
      </w:r>
    </w:p>
    <w:p>
      <w:pPr>
        <w:pStyle w:val="FirstParagraph"/>
      </w:pPr>
      <w:r>
        <w:t xml:space="preserve">以下页面自动请求在页面切换时未捕获到完整响应，不代表接口不可用，建议后续单独加长等待或补筛选参数再测：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/rest/tms/aos/charge_approval/lists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/rest/tms/aos/user_report/lists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/rest/tms/csos/parcel/lists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/rest/tms/dos/b2c_scan_log/lists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/rest/tms/dos/pallet/lists</w:t>
      </w:r>
    </w:p>
    <w:bookmarkEnd w:id="29"/>
    <w:bookmarkStart w:id="30" w:name="对新系统的集成建议"/>
    <w:p>
      <w:pPr>
        <w:pStyle w:val="Heading2"/>
      </w:pPr>
      <w:r>
        <w:t xml:space="preserve">对新系统的集成建议</w:t>
      </w:r>
    </w:p>
    <w:p>
      <w:pPr>
        <w:pStyle w:val="FirstParagraph"/>
      </w:pPr>
      <w:r>
        <w:t xml:space="preserve">第一批新智慧 adapter 应先接以下只读接口：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shipment/lists</w:t>
      </w:r>
      <w:r>
        <w:t xml:space="preserve">：订单/运单主数据。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waybill/lists</w:t>
      </w:r>
      <w:r>
        <w:t xml:space="preserve">：提单/批次。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parcel/lists</w:t>
      </w:r>
      <w:r>
        <w:t xml:space="preserve">：箱级/货箱。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financial_detail/lists</w:t>
      </w:r>
      <w:r>
        <w:t xml:space="preserve">：财务流水。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invoice/lists</w:t>
      </w:r>
      <w:r>
        <w:t xml:space="preserve">、</w:t>
      </w:r>
      <w:r>
        <w:rPr>
          <w:rStyle w:val="VerbatimChar"/>
        </w:rPr>
        <w:t xml:space="preserve">invoice_partner/lists</w:t>
      </w:r>
      <w:r>
        <w:t xml:space="preserve">：客户/供应商账单。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rates/lists</w:t>
      </w:r>
      <w:r>
        <w:t xml:space="preserve">、</w:t>
      </w:r>
      <w:r>
        <w:rPr>
          <w:rStyle w:val="VerbatimChar"/>
        </w:rPr>
        <w:t xml:space="preserve">charge_type_mod/lists</w:t>
      </w:r>
      <w:r>
        <w:t xml:space="preserve">：费率与费用字典。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trajectory_tracking/lists</w:t>
      </w:r>
      <w:r>
        <w:t xml:space="preserve">：轨迹跟踪。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picklist/lists</w:t>
      </w:r>
      <w:r>
        <w:t xml:space="preserve">、</w:t>
      </w:r>
      <w:r>
        <w:rPr>
          <w:rStyle w:val="VerbatimChar"/>
        </w:rPr>
        <w:t xml:space="preserve">lading/lists</w:t>
      </w:r>
      <w:r>
        <w:t xml:space="preserve">：仓库收发货。</w:t>
      </w:r>
    </w:p>
    <w:p>
      <w:pPr>
        <w:pStyle w:val="FirstParagraph"/>
      </w:pPr>
      <w:r>
        <w:t xml:space="preserve">新系统落库时应把新智慧原始响应作为</w:t>
      </w:r>
      <w:r>
        <w:t xml:space="preserve"> </w:t>
      </w:r>
      <w:r>
        <w:rPr>
          <w:rStyle w:val="VerbatimChar"/>
        </w:rPr>
        <w:t xml:space="preserve">external_records.raw_json</w:t>
      </w:r>
      <w:r>
        <w:t xml:space="preserve">，再投影到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、</w:t>
      </w:r>
      <w:r>
        <w:rPr>
          <w:rStyle w:val="VerbatimChar"/>
        </w:rPr>
        <w:t xml:space="preserve">cartons</w:t>
      </w:r>
      <w:r>
        <w:t xml:space="preserve">、</w:t>
      </w:r>
      <w:r>
        <w:rPr>
          <w:rStyle w:val="VerbatimChar"/>
        </w:rPr>
        <w:t xml:space="preserve">charges</w:t>
      </w:r>
      <w:r>
        <w:t xml:space="preserve">、</w:t>
      </w:r>
      <w:r>
        <w:rPr>
          <w:rStyle w:val="VerbatimChar"/>
        </w:rPr>
        <w:t xml:space="preserve">tracking_events</w:t>
      </w:r>
      <w:r>
        <w:t xml:space="preserve">、</w:t>
      </w:r>
      <w:r>
        <w:rPr>
          <w:rStyle w:val="VerbatimChar"/>
        </w:rPr>
        <w:t xml:space="preserve">customer_invoices</w:t>
      </w:r>
      <w:r>
        <w:t xml:space="preserve">、</w:t>
      </w:r>
      <w:r>
        <w:rPr>
          <w:rStyle w:val="VerbatimChar"/>
        </w:rPr>
        <w:t xml:space="preserve">carrier_bill_lines</w:t>
      </w:r>
      <w:r>
        <w:t xml:space="preserve">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2026-05-08T00:59:51Z</dcterms:created>
  <dcterms:modified xsi:type="dcterms:W3CDTF">2026-05-08T00:59:51Z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