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563EB"/>
          <w:sz w:val="64"/>
        </w:rPr>
        <w:t>印章生成平台 V2</w:t>
      </w:r>
    </w:p>
    <w:p>
      <w:pPr>
        <w:jc w:val="center"/>
      </w:pPr>
      <w:r>
        <w:rPr>
          <w:rFonts w:ascii="Microsoft YaHei" w:hAnsi="Microsoft YaHei" w:eastAsia="Microsoft YaHei"/>
          <w:b/>
          <w:color w:val="172033"/>
          <w:sz w:val="42"/>
        </w:rPr>
        <w:t>产品需求与原型说明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22"/>
        </w:rPr>
        <w:t>覆盖编辑器、做旧纹理、模板、历史、会员下载、后台、安全提示和验收口径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669"/>
      </w:tblGrid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文档版本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2.0.0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编制日期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2026-08-01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目标技术栈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React + TypeScript + Go + PostgreSQL + Redis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安全原则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浏览器代码永远不是安全边界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667085"/>
          <w:sz w:val="18"/>
        </w:rPr>
        <w:t>内部评审 / 研发立项 / 测试验收使用</w:t>
      </w:r>
    </w:p>
    <w:p>
      <w:r>
        <w:br w:type="page"/>
      </w:r>
    </w:p>
    <w:p>
      <w:pPr>
        <w:pStyle w:val="Heading1"/>
      </w:pPr>
      <w:r>
        <w:t>文档摘要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FF6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>目标</w:t>
              <w:br/>
            </w:r>
            <w:r>
              <w:rPr>
                <w:rFonts w:ascii="Microsoft YaHei" w:hAnsi="Microsoft YaHei" w:eastAsia="Microsoft YaHei"/>
                <w:color w:val="172033"/>
                <w:sz w:val="18"/>
              </w:rPr>
              <w:t>将参考工具站的印章生成能力重新定义为一个可扩展、可商业化、可安全运营的产品。原型不是对第三方源码的复制，而是对公开功能流程的独立产品设计。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1. 产品定位与范围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2. 用户角色与核心流程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3. 信息架构与页面清单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4. 编辑器功能规格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5. 做旧纹理规格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6. 模板、历史与配置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7. 会员、订单与下载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8. 管理后台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9. 非功能需求与验收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10. 版本计划</w:t>
      </w:r>
    </w:p>
    <w:p>
      <w:pPr>
        <w:pStyle w:val="Heading1"/>
      </w:pPr>
      <w:r>
        <w:t>1. 产品定位与范围</w:t>
      </w:r>
    </w:p>
    <w:p>
      <w:r>
        <w:t>印章生成平台面向需要快速制作视觉印章效果的用户，提供参数化编辑、实时预览、模板复用、做旧纹理和高清导出。平台必须明确限制非法用途，并通过服务端权限、水印和审计保护商业字体与高级资源。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0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</w:t>
            </w:r>
          </w:p>
        </w:tc>
        <w:tc>
          <w:tcPr>
            <w:tcW w:type="dxa" w:w="340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后续版本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印章类型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企业圆章、椭圆章、个人方章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更多异形章、批量生成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编辑体验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参数面板 + SVG 实时预览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画布拖拽、标尺、图层排序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输出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低清预览、服务端 PNG/SVG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PDF、批量 ZIP、API 服务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商业化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单次解锁、VIP、高级字体/纹理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套餐、企业账户、开放平台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水印、限流、签名下载、审计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行为风控、弱隐形指纹、企业审计</w:t>
            </w:r>
          </w:p>
        </w:tc>
      </w:tr>
    </w:tbl>
    <w:p/>
    <w:p>
      <w:pPr>
        <w:pStyle w:val="Heading1"/>
      </w:pPr>
      <w:r>
        <w:t>2. 用户角色与核心流程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11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08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关键权限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匿名用户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快速试用和预览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基础模板、低清水印预览、受限生成频率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注册用户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保存配置和历史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云端配置、历史恢复、订单查询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会员用户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使用高级资源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高级字体、纹理、较高尺寸、无水印下载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运营人员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维护资源和订单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模板、字体、纹理、订单、举报处理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安全管理员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追踪风险和审计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安全事件、限流策略、封禁、日志导出</w:t>
            </w:r>
          </w:p>
        </w:tc>
      </w:tr>
    </w:tbl>
    <w:p/>
    <w:p>
      <w:pPr>
        <w:pStyle w:val="Heading2"/>
      </w:pPr>
      <w:r>
        <w:t>2.1 主流程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1. 选择章型或模板。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2. 修改文字、边框、颜色、字体、布局和做旧纹理。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3. 前端以 SVG 实时预览，并自动保存草稿。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4. 点击高清生成后，Go 后端重新校验用户、订单、字体许可、最大尺寸和水印策略。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5. Worker 生成正式文件并写入私有对象存储。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6. 用户通过 120 秒有效、单次消费的签名令牌下载。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7. 生成、支付、令牌签发和消费写入审计日志。</w:t>
      </w:r>
    </w:p>
    <w:p>
      <w:pPr>
        <w:pStyle w:val="Heading1"/>
      </w:pPr>
      <w:r>
        <w:t>3. 信息架构与页面清单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386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主要模块</w:t>
            </w:r>
          </w:p>
        </w:tc>
        <w:tc>
          <w:tcPr>
            <w:tcW w:type="dxa" w:w="124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印章编辑器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参数面板、画布、纹理、导出、历史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模板中心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分类、搜索、预览、加载、收藏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我的配置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保存、复制、重命名、版本恢复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生成历史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任务状态、下载、订单、复制设计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会员与订单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权益、价格、支付、退款、发票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账户中心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资料、设备、登录记录、下载记录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管理后台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用户、订单、模板、字体、纹理、审计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安全中心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CSP 报告、限流、封禁、风控事件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P2</w:t>
            </w:r>
          </w:p>
        </w:tc>
      </w:tr>
    </w:tbl>
    <w:p/>
    <w:p>
      <w:pPr>
        <w:pStyle w:val="Heading1"/>
      </w:pPr>
      <w:r>
        <w:t>4. 编辑器功能规格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51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字段/动作</w:t>
            </w:r>
          </w:p>
        </w:tc>
        <w:tc>
          <w:tcPr>
            <w:tcW w:type="dxa" w:w="328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章型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公章、私章、方章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切换章型时加载推荐默认值，但保留撤销点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形状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正圆、椭圆、方形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逻辑画布统一为 1000×1000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文字层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主体、内圈、底部、中心、抬头 1/2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每层可见、锁定、重置；内容长度受限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文字高级参数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字体、字号、字距、横纵缩放、偏移、旋转、粗细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所有参数写入 SealConfig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边框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线宽、双外圈、内环、内环微调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椭圆和方形使用对应几何模型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中心图案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五角星、文字、PNG/JPEG/WebP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上传文件重新解码，SVG 默认禁止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编辑历史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撤销、重做、重置、自动保存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至少保留 40 个本地操作快照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导出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PNG、SVG、透明背景、尺寸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前端仅预览；正式导出由后端控制</w:t>
            </w:r>
          </w:p>
        </w:tc>
      </w:tr>
    </w:tbl>
    <w:p/>
    <w:p>
      <w:pPr>
        <w:pStyle w:val="Heading1"/>
      </w:pPr>
      <w:r>
        <w:t>5. 做旧纹理规格</w:t>
      </w:r>
    </w:p>
    <w:p>
      <w:r>
        <w:t>纹理不是固定滤镜，而是一份确定性配置。前端和 Go Worker 共享随机算法、逻辑坐标和图层应用规则，确保同一 seed 结果可复现。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38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08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type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ink / grain / edge / scratch / paper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油墨不均、颗粒缺损、边缘磨损、划痕、纸张纤维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intensity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0–100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总体缺损程度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density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0–100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纹理数量与覆盖密度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grainSize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1–24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颗粒和缺损尺寸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edgeWear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0–100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边缘腐蚀比例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scratchCount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0–40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划痕数量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fade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0–100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半透明和渐变程度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seed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1–2147483647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确定性随机种子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applyTo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border / text / center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选择作用图层</w:t>
            </w:r>
          </w:p>
        </w:tc>
      </w:tr>
    </w:tbl>
    <w:p/>
    <w:p>
      <w:pPr>
        <w:pStyle w:val="Heading2"/>
      </w:pPr>
      <w:r>
        <w:t>5.1 纹理预设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预设</w:t>
            </w:r>
          </w:p>
        </w:tc>
        <w:tc>
          <w:tcPr>
            <w:tcW w:type="dxa" w:w="153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11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建议用途</w:t>
            </w:r>
          </w:p>
        </w:tc>
        <w:tc>
          <w:tcPr>
            <w:tcW w:type="dxa" w:w="311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可读性约束</w:t>
            </w:r>
          </w:p>
        </w:tc>
      </w:tr>
      <w:tr>
        <w:trPr>
          <w:cantSplit/>
        </w:trP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轻微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grain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轻度印泥不均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不应破坏关键字形</w:t>
            </w:r>
          </w:p>
        </w:tc>
      </w:tr>
      <w:tr>
        <w:trPr>
          <w:cantSplit/>
        </w:trP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自然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ink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默认做旧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主体文字保留率高于 85%</w:t>
            </w:r>
          </w:p>
        </w:tc>
      </w:tr>
      <w:tr>
        <w:trPr>
          <w:cantSplit/>
        </w:trP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陈旧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paper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仿旧纸面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必须显示可读性提醒</w:t>
            </w:r>
          </w:p>
        </w:tc>
      </w:tr>
      <w:tr>
        <w:trPr>
          <w:cantSplit/>
        </w:trP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重度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scratch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视觉设计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不建议用于正式业务文本</w:t>
            </w:r>
          </w:p>
        </w:tc>
      </w:tr>
    </w:tbl>
    <w:p/>
    <w:p>
      <w:pPr>
        <w:pStyle w:val="Heading1"/>
      </w:pPr>
      <w:r>
        <w:t>6. 模板、历史与配置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模板包含缩略图、分类、标签、推荐章型和完整 SealConfig。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用户配置支持保存、复制、重命名、删除和版本升级。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历史记录保存生成时配置、rendererVersion、字体版本、纹理 seed、订单和文件状态。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从历史恢复时创建新草稿，不覆盖原生成记录。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配置升级通过 schemaVersion 执行迁移，未知字段由后端拒绝。</w:t>
      </w:r>
    </w:p>
    <w:p>
      <w:pPr>
        <w:pStyle w:val="Heading1"/>
      </w:pPr>
      <w:r>
        <w:t>7. 会员、订单与下载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52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产品规则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免费预览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低清、可见水印、会话编号、频率限制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单次解锁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只解锁指定 generationId、格式和最大尺寸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VIP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按权益计算可用字体、纹理、尺寸和下载次数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支付回调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后端验签、核对金额、订单号幂等处理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文件下载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私有对象存储；短期、单次、绑定用户和生成记录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退款/失效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退款后未消费令牌立即失效；已下载记录保留审计</w:t>
            </w:r>
          </w:p>
        </w:tc>
      </w:tr>
    </w:tbl>
    <w:p/>
    <w:p>
      <w:pPr>
        <w:pStyle w:val="Heading1"/>
      </w:pPr>
      <w:r>
        <w:t>8. 管理后台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35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用户与设备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用户状态、登录设备、封禁、风险标签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资源管理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模板、字体授权、纹理预设、素材版本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订单与权益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订单、回调、退款、会员权益、优惠码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生成与存储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任务、失败重试、对象存储、清理策略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内容治理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敏感词、举报、违规记录、人工复核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安全审计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限流、令牌、下载、CSP、管理操作日志</w:t>
            </w:r>
          </w:p>
        </w:tc>
      </w:tr>
    </w:tbl>
    <w:p/>
    <w:p>
      <w:pPr>
        <w:pStyle w:val="Heading1"/>
      </w:pPr>
      <w:r>
        <w:t>9. 非功能需求与验收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69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性能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参数修改后 100ms 内更新预览；普通接口 P95 &lt; 300ms；高清任务异步处理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可用性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核心服务月可用性目标 99.9%；任务失败可重试且不重复扣费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兼容性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桌面 Chrome/Edge/Safari 最新两个大版本；移动端主流浏览器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可访问性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键盘可操作、表单标签明确、F12 提示不阻断无障碍和正常调试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所有对象访问重新鉴权；前端字段不能提升权限；下载令牌单次消费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审计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生成、订单、回调、下载、封禁和后台变更均可追溯</w:t>
            </w:r>
          </w:p>
        </w:tc>
      </w:tr>
    </w:tbl>
    <w:p/>
    <w:p>
      <w:pPr>
        <w:pStyle w:val="Heading1"/>
      </w:pPr>
      <w:r>
        <w:t>10. 版本计划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989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70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建议周期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M0 原型确认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交互、配置协议、纹理效果、安全边界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 周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M1 可用编辑器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React 编辑器、本地导出、配置保存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2–3 周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M2 服务端渲染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Go API、Worker、PostgreSQL、对象存储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3–4 周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M3 商业闭环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登录、订单、支付、水印、签名下载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2–3 周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M4 上线加固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限流、审计、CSP、上传安全、压测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2 周</w:t>
            </w:r>
          </w:p>
        </w:tc>
      </w:tr>
    </w:tbl>
    <w:p/>
    <w:p>
      <w:pPr>
        <w:pStyle w:val="Heading1"/>
      </w:pPr>
      <w:r>
        <w:t>附录 A：原型交互覆盖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章型和形状切换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主体/内圈/底部/中心/两行抬头文字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边框和文字高级配置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五种做旧纹理及预设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随机种子与按住对比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模板、配置、历史、撤销/重做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高清任务、限流、短期下载令牌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安全策略抽屉、F12/右键温和提示、审计事件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印章生成平台 V2  |  设计基线  |  2026-08-01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2410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83" w:right="283"/>
    </w:pPr>
    <w:rPr>
      <w:rFonts w:ascii="Consolas" w:hAnsi="Consolas" w:eastAsia="Microsoft YaHei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