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2563EB"/>
          <w:sz w:val="64"/>
        </w:rPr>
        <w:t>印章生成平台 V2</w:t>
      </w:r>
    </w:p>
    <w:p>
      <w:pPr>
        <w:jc w:val="center"/>
      </w:pPr>
      <w:r>
        <w:rPr>
          <w:rFonts w:ascii="Microsoft YaHei" w:hAnsi="Microsoft YaHei" w:eastAsia="Microsoft YaHei"/>
          <w:b/>
          <w:color w:val="172033"/>
          <w:sz w:val="42"/>
        </w:rPr>
        <w:t>防盗、安全与验收规范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color w:val="667085"/>
          <w:sz w:val="22"/>
        </w:rPr>
        <w:t>F12 温和阻吓、后端安全边界、字体/素材保护、限流、下载令牌和上线门禁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669"/>
      </w:tblGrid>
      <w:tr>
        <w:tc>
          <w:tcPr>
            <w:tcW w:type="dxa" w:w="4933"/>
            <w:shd w:fill="EFF6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文档版本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2.0.0</w:t>
            </w:r>
          </w:p>
        </w:tc>
      </w:tr>
      <w:tr>
        <w:tc>
          <w:tcPr>
            <w:tcW w:type="dxa" w:w="4933"/>
            <w:shd w:fill="EFF6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编制日期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2026-08-01</w:t>
            </w:r>
          </w:p>
        </w:tc>
      </w:tr>
      <w:tr>
        <w:tc>
          <w:tcPr>
            <w:tcW w:type="dxa" w:w="4933"/>
            <w:shd w:fill="EFF6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目标技术栈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React + TypeScript + Go + PostgreSQL + Redis</w:t>
            </w:r>
          </w:p>
        </w:tc>
      </w:tr>
      <w:tr>
        <w:tc>
          <w:tcPr>
            <w:tcW w:type="dxa" w:w="4933"/>
            <w:shd w:fill="EFF6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安全原则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浏览器代码永远不是安全边界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color w:val="667085"/>
          <w:sz w:val="18"/>
        </w:rPr>
        <w:t>内部评审 / 研发立项 / 测试验收使用</w:t>
      </w:r>
    </w:p>
    <w:p>
      <w:r>
        <w:br w:type="page"/>
      </w:r>
    </w:p>
    <w:p>
      <w:pPr>
        <w:pStyle w:val="Heading1"/>
      </w:pPr>
      <w:r>
        <w:t>执行摘要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E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>核心判断</w:t>
              <w:br/>
            </w:r>
            <w:r>
              <w:rPr>
                <w:rFonts w:ascii="Microsoft YaHei" w:hAnsi="Microsoft YaHei" w:eastAsia="Microsoft YaHei"/>
                <w:color w:val="172033"/>
                <w:sz w:val="18"/>
              </w:rPr>
              <w:t>F12、禁右键、禁止复制、压缩、混淆和 WebAssembly 都不能让浏览器端代码真正保密。它们只能降低普通复制便利度。真正的安全边界是 Go 后端的权限重算、商业资源不下发、私有对象存储、签名下载、限流和审计。</w:t>
            </w:r>
          </w:p>
        </w:tc>
      </w:tr>
    </w:tbl>
    <w:p/>
    <w:p>
      <w:pPr>
        <w:pStyle w:val="Heading1"/>
      </w:pPr>
      <w:r>
        <w:t>1. 威胁模型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71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资产</w:t>
            </w:r>
          </w:p>
        </w:tc>
        <w:tc>
          <w:tcPr>
            <w:tcW w:type="dxa" w:w="3969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主要威胁</w:t>
            </w:r>
          </w:p>
        </w:tc>
        <w:tc>
          <w:tcPr>
            <w:tcW w:type="dxa" w:w="2665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商业字体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直接下载、缓存提取、字体遍历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授权泄漏、商业损失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高级纹理和模板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抓包、批量遍历、转售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产品差异化丢失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无水印高清文件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篡改请求、越权下载、令牌重放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收入损失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支付与会员权限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伪造 paid/vip、回调重放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越权和财务风险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生成服务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自动化调用、资源耗尽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成本和可用性风险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用户上传与数据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恶意文件、越权、注入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数据泄漏和系统入侵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管理后台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凭证泄漏、越权操作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大范围业务风险</w:t>
            </w:r>
          </w:p>
        </w:tc>
      </w:tr>
    </w:tbl>
    <w:p/>
    <w:p>
      <w:pPr>
        <w:pStyle w:val="Heading1"/>
      </w:pPr>
      <w:r>
        <w:t>2. 控制分层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61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422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控制</w:t>
            </w:r>
          </w:p>
        </w:tc>
        <w:tc>
          <w:tcPr>
            <w:tcW w:type="dxa" w:w="2721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定位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L1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后端权限、订单、字体许可、水印策略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核心安全边界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L2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私有存储、短期单次签名下载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文件访问边界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L3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限流、验证码、任务队列、风险评分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防刷与成本控制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L4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上传安全、CSP、CSRF、Cookie、CORS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Web 应用安全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L5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水印、会话标识、弱文件指纹、审计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追踪和举证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L6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关闭 Source Map、压缩、选择性混淆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提高分析成本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L7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F12/右键/快捷键温和提示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普通用户阻吓</w:t>
            </w:r>
          </w:p>
        </w:tc>
      </w:tr>
    </w:tbl>
    <w:p/>
    <w:p>
      <w:pPr>
        <w:pStyle w:val="Heading1"/>
      </w:pPr>
      <w:r>
        <w:t>3. 前端弱防护规范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措施</w:t>
            </w:r>
          </w:p>
        </w:tc>
        <w:tc>
          <w:tcPr>
            <w:tcW w:type="dxa" w:w="3685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允许做法</w:t>
            </w:r>
          </w:p>
        </w:tc>
        <w:tc>
          <w:tcPr>
            <w:tcW w:type="dxa" w:w="294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禁止做法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F12/快捷键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拦截常见快捷键并显示一次版权提示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无限 debugger、死循环、关闭页面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右键菜单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编辑器区域可阻止右键并给出提示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全站破坏性禁用、影响表单和无障碍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控制台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显示版权和安全边界说明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输出敏感配置、内部 API 或密钥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Source Map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不公开部署；私下上传错误监控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把 .map 放在公开 CDN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混淆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仅少量非关键商业前端逻辑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对全站重混淆导致性能和可维护性下降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预览限制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匿名低清、可见水印、会话标识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依赖 CSS 水印保护正式文件</w:t>
            </w:r>
          </w:p>
        </w:tc>
      </w:tr>
    </w:tbl>
    <w:p/>
    <w:p>
      <w:pPr>
        <w:pStyle w:val="Heading2"/>
      </w:pPr>
      <w:r>
        <w:t>3.1 F12 验收口径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F12、Ctrl/Cmd+Shift+I/J/C、Ctrl/Cmd+U 触发一次非破坏性提示。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用户确认后可继续使用页面，不能卡死、刷新或关闭。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先打开开发者工具再访问时，产品功能仍能正常使用。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禁用 JavaScript 时不会暴露正式文件、商业字体或私密令牌。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辅助技术和键盘导航不应被阻断。</w:t>
      </w:r>
    </w:p>
    <w:p>
      <w:pPr>
        <w:pStyle w:val="Heading1"/>
      </w:pPr>
      <w:r>
        <w:t>4. 后端权限和对象级鉴权</w:t>
      </w:r>
    </w:p>
    <w:p>
      <w:r>
        <w:t>每次生成、查询、签发令牌、下载、删除和订单访问，都必须验证对象归属和服务器端权益。客户端提交的权限字段全部忽略。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11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</w:t>
            </w:r>
          </w:p>
        </w:tc>
        <w:tc>
          <w:tcPr>
            <w:tcW w:type="dxa" w:w="5386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期望结果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修改 watermark=false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后端仍按权益添加水印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修改 vip=true / paid=true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无数据库权益时返回 403 或水印结果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替换 generationId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非所有者返回 404/403，不泄露存在性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重复消费下载 token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第一次成功，第二次返回 410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过期 token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返回 410，不访问对象存储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退款后下载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未消费 token 作废，后续签发拒绝</w:t>
            </w:r>
          </w:p>
        </w:tc>
      </w:tr>
    </w:tbl>
    <w:p/>
    <w:p>
      <w:pPr>
        <w:pStyle w:val="Heading1"/>
      </w:pPr>
      <w:r>
        <w:t>5. 字体、模板和纹理保护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完整商业字体只存在于 Worker 私有镜像或加密卷，不通过 /assets 暴露。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前端高级字体预览使用服务端低清栅格结果、字形子集或授权允许的近似字体。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高级模板接口只对有权限用户返回必要配置，并限速防遍历。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私有纹理蒙版不公开原始 PNG；服务端按参数生成或返回带水印预览。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字体、模板和纹理均记录 version、licenseScope、exportAllowed 和 vipOnly。</w:t>
      </w:r>
    </w:p>
    <w:p>
      <w:pPr>
        <w:pStyle w:val="Heading1"/>
      </w:pPr>
      <w:r>
        <w:t>6. 上传安全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6520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允许格式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PNG、JPEG、WebP；默认禁止 SVG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文件体积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不超过 5 MB，可按产品调整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像素总量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不超过 2500 万像素，防解压炸弹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真实类型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验证文件头和解码结果，不信任扩展名/MIME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处理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解码后重新编码，移除 EXIF 和隐藏数据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存储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随机 assetId、私有桶、独立上传域名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内容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必要时接入恶意文件和违规内容检测</w:t>
            </w:r>
          </w:p>
        </w:tc>
      </w:tr>
    </w:tbl>
    <w:p/>
    <w:p>
      <w:pPr>
        <w:pStyle w:val="Heading1"/>
      </w:pPr>
      <w:r>
        <w:t>7. 限流和防自动化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226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默认基线</w:t>
            </w:r>
          </w:p>
        </w:tc>
        <w:tc>
          <w:tcPr>
            <w:tcW w:type="dxa" w:w="3855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匿名预览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10 次/分钟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IP + Session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登录预览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60 次/分钟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userId + IP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高清生成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3 次/分钟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userId + IP + device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图片上传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10 次/分钟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userId + IP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订单创建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5 次/分钟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userId + device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下载令牌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10 次/分钟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userId + generationId</w:t>
            </w:r>
          </w:p>
        </w:tc>
      </w:tr>
    </w:tbl>
    <w:p/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高成本请求进入队列，设置并发、超时和最大尺寸。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相同配置使用 generationKey 缓存和去重。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异常遍历字体/模板、批量创建账号或连续失败触发验证码/临时封禁。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429 响应包含 Retry-After；限流事件写入审计。</w:t>
      </w:r>
    </w:p>
    <w:p>
      <w:pPr>
        <w:pStyle w:val="Heading1"/>
      </w:pPr>
      <w:r>
        <w:t>8. 下载令牌规范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350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userId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必须与当前登录用户一致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generationId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必须属于用户且订单/权益有效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format / width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不能超过导出策略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expiresAt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建议 120 秒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nonce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密码学安全随机；Redis 存储散列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signature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HMAC-SHA-256 或 AEAD；密钥不在前端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consume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原子 SETNX/事务，保证单次消费</w:t>
            </w:r>
          </w:p>
        </w:tc>
      </w:tr>
    </w:tbl>
    <w:p/>
    <w:p>
      <w:pPr>
        <w:pStyle w:val="Heading1"/>
      </w:pPr>
      <w:r>
        <w:t>9. Web 安全基线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控制</w:t>
            </w:r>
          </w:p>
        </w:tc>
        <w:tc>
          <w:tcPr>
            <w:tcW w:type="dxa" w:w="6350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TLS / HSTS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全站 HTTPS；稳定后启用 includeSubDomains 与 preload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CSP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先 Report-Only 收集，再收紧并强制；object-src none；frame-ancestors none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Cookie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HttpOnly、Secure、SameSite；会话轮换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CSRF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Cookie 会话配合 CSRF Token；敏感操作验证 Origin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CORS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明确白名单，不允许通配凭证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响应头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nosniff、Referrer-Policy、Permissions-Policy、COOP/CORP 按需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缓存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用户 API no-store；内容哈希静态资源 immutable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输入输出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严格 JSON、未知字段拒绝、参数范围校验、输出转义</w:t>
            </w:r>
          </w:p>
        </w:tc>
      </w:tr>
    </w:tbl>
    <w:p/>
    <w:p>
      <w:pPr>
        <w:pStyle w:val="Heading1"/>
      </w:pPr>
      <w:r>
        <w:t>10. 支付和订单安全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1. 支付回调使用渠道公钥/密钥验签。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2. 核对商户号、订单号、金额、币种和状态。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3. 订单号建立唯一约束，回调重复到达必须幂等。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4. 前端“支付成功”只触发查询，不能直接解锁。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5. 退款、撤销和争议状态同步影响后续下载权限。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6. 记录回调摘要和结果，不记录完整支付密钥。</w:t>
      </w:r>
    </w:p>
    <w:p>
      <w:pPr>
        <w:pStyle w:val="Heading1"/>
      </w:pPr>
      <w:r>
        <w:t>11. 审计、隐私与水印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4422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建议保留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生成任务、订单、下载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180 天或按合规要求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安全事件、后台操作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365 天或按合规要求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CSP 报告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去重后 30–90 天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原始上传和生成文件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按用户删除、订单与存储策略处理</w:t>
            </w:r>
          </w:p>
        </w:tc>
      </w:tr>
    </w:tbl>
    <w:p/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低清预览水印包含站点标识和会话编号，不暴露完整用户 ID。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正式文件可嵌入弱像素指纹、generationId 哈希和服务器生成记录。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PNG 元数据易被删除，不能作为唯一追踪方式。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日志中的 IP、用户文本和令牌应散列、脱敏或最小化。</w:t>
      </w:r>
    </w:p>
    <w:p>
      <w:pPr>
        <w:pStyle w:val="Heading1"/>
      </w:pPr>
      <w:r>
        <w:t>12. 上线门禁检查表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5953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1134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级别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SEC-01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生产环境不存在公开 .map 文件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SEC-02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前端不存在支付、JWT、对象存储私密密钥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SEC-03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所有下载均经对象级鉴权和单次令牌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SEC-04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paid/vip/watermark 字段篡改无法提权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SEC-05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商业字体不出现在公开静态资源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SEC-06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上传文件通过真实类型、像素和重编码检查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SEC-07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支付回调验签、金额核对和幂等测试通过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SEC-08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高清生成、上传、订单和令牌接口有限流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SEC-09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CSP Report-Only 无关键违规后切换强制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SEC-10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F12 提示不破坏页面和无障碍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SEC-11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管理后台启用 MFA、最小权限和审计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SEC-12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备份恢复和密钥轮换演练通过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P1</w:t>
            </w:r>
          </w:p>
        </w:tc>
      </w:tr>
    </w:tbl>
    <w:p/>
    <w:p>
      <w:pPr>
        <w:pStyle w:val="Heading1"/>
      </w:pPr>
      <w:r>
        <w:t>13. 安全测试用例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87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969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4082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预期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AUTH-01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修改前端请求中的 vip=true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后端忽略并按真实权益计算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IDOR-01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访问其他用户 generationId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拒绝且不泄露对象详情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TOKEN-01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同一下载令牌请求两次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第二次返回 410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TOKEN-02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修改 token 中 width 或 format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验签失败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RATE-01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 分钟内创建 4 次高清任务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第 4 次 429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UPLOAD-01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把脚本改名为 .png 上传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解码失败并拒绝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UPLOAD-02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上传超大像素图片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拒绝且不占用长期内存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PAY-01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重复发送合法支付回调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只处理一次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F12-01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按 F12 并确认提示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页面继续可用，无死循环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MAP-01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请求 /assets/*.map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404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FONT-01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遍历公开 assets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不存在完整商业字体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CSP-01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注入外部脚本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CSP 阻止并产生报告</w:t>
            </w:r>
          </w:p>
        </w:tc>
      </w:tr>
    </w:tbl>
    <w:p/>
    <w:p>
      <w:pPr>
        <w:pStyle w:val="Heading1"/>
      </w:pPr>
      <w:r>
        <w:t>14. 事件响应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1. 发现异常后冻结相关下载令牌和高风险账号。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2. 保留必要日志和对象版本，避免破坏证据。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3. 评估字体、模板、用户数据或支付范围。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4. 轮换相关密钥、撤销对象存储授权并修复策略。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5. 通知业务、法务和受影响方；按法规执行通报。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6. 完成根因分析、测试补充和规则更新。</w:t>
      </w:r>
    </w:p>
    <w:p>
      <w:pPr>
        <w:pStyle w:val="Heading1"/>
      </w:pPr>
      <w:r>
        <w:t>附录：不应采用的反调试方式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无限 debugger 或极高频 debugger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检测到开发工具即死循环、清空页面或关闭窗口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通过内存/CPU 消耗卡死浏览器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把核心密钥放入 WebAssembly 后宣称安全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仅用 Referer、User-Agent 或前端签名保护 API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把禁用右键当成商业资源保护的主要措施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6"/>
      </w:rPr>
      <w:t>印章生成平台 V2  |  设计基线  |  2026-08-01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2410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/>
      <w:ind w:left="283" w:right="283"/>
    </w:pPr>
    <w:rPr>
      <w:rFonts w:ascii="Consolas" w:hAnsi="Consolas" w:eastAsia="Microsoft YaHei"/>
      <w:color w:val="1720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