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Microsoft YaHei" w:hAnsi="Microsoft YaHei" w:eastAsia="Microsoft YaHei"/>
          <w:b/>
          <w:color w:val="2563EB"/>
          <w:sz w:val="64"/>
        </w:rPr>
        <w:t>印章生成平台 V2</w:t>
      </w:r>
    </w:p>
    <w:p>
      <w:pPr>
        <w:jc w:val="center"/>
      </w:pPr>
      <w:r>
        <w:rPr>
          <w:rFonts w:ascii="Microsoft YaHei" w:hAnsi="Microsoft YaHei" w:eastAsia="Microsoft YaHei"/>
          <w:b/>
          <w:color w:val="172033"/>
          <w:sz w:val="42"/>
        </w:rPr>
        <w:t>Go + React 技术设计</w:t>
      </w:r>
    </w:p>
    <w:p>
      <w:pPr>
        <w:spacing w:before="240"/>
        <w:jc w:val="center"/>
      </w:pPr>
      <w:r>
        <w:rPr>
          <w:rFonts w:ascii="Microsoft YaHei" w:hAnsi="Microsoft YaHei" w:eastAsia="Microsoft YaHei"/>
          <w:color w:val="667085"/>
          <w:sz w:val="22"/>
        </w:rPr>
        <w:t>统一配置协议、前后端渲染一致性、数据模型、API、任务队列与部署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5669"/>
      </w:tblGrid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文档版本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2.0.0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编制日期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2026-08-01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目标技术栈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React + TypeScript + Go + PostgreSQL + Redis</w:t>
            </w:r>
          </w:p>
        </w:tc>
      </w:tr>
      <w:tr>
        <w:tc>
          <w:tcPr>
            <w:tcW w:type="dxa" w:w="4933"/>
            <w:shd w:fill="EFF6FF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安全原则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b w:val="0"/>
                <w:color w:val="172033"/>
                <w:sz w:val="18"/>
              </w:rPr>
              <w:t>浏览器代码永远不是安全边界</w:t>
            </w:r>
          </w:p>
        </w:tc>
      </w:tr>
    </w:tbl>
    <w:p/>
    <w:p>
      <w:pPr>
        <w:jc w:val="center"/>
      </w:pPr>
      <w:r>
        <w:rPr>
          <w:rFonts w:ascii="Microsoft YaHei" w:hAnsi="Microsoft YaHei" w:eastAsia="Microsoft YaHei"/>
          <w:color w:val="667085"/>
          <w:sz w:val="18"/>
        </w:rPr>
        <w:t>内部评审 / 研发立项 / 测试验收使用</w:t>
      </w:r>
    </w:p>
    <w:p>
      <w:r>
        <w:br w:type="page"/>
      </w:r>
    </w:p>
    <w:p>
      <w:pPr>
        <w:pStyle w:val="Heading1"/>
      </w:pPr>
      <w:r>
        <w:t>文档摘要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fill="EFF6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Microsoft YaHei" w:hAnsi="Microsoft YaHei" w:eastAsia="Microsoft YaHei"/>
                <w:b/>
                <w:color w:val="2563EB"/>
                <w:sz w:val="20"/>
              </w:rPr>
              <w:t>技术结论</w:t>
              <w:br/>
            </w:r>
            <w:r>
              <w:rPr>
                <w:rFonts w:ascii="Microsoft YaHei" w:hAnsi="Microsoft YaHei" w:eastAsia="Microsoft YaHei"/>
                <w:color w:val="172033"/>
                <w:sz w:val="18"/>
              </w:rPr>
              <w:t>推荐 React + TypeScript + Vite 构建编辑器，Go 提供 API、权限、任务与服务端 SVG 生成；resvg/Chromium 负责 SVG 转 PNG；PostgreSQL 保存业务数据，Redis 负责限流、队列和单次令牌，对象存储保存私有文件。</w:t>
            </w:r>
          </w:p>
        </w:tc>
      </w:tr>
    </w:tbl>
    <w:p/>
    <w:p>
      <w:pPr>
        <w:pStyle w:val="Heading1"/>
      </w:pPr>
      <w:r>
        <w:t>1. 总体架构</w:t>
      </w:r>
    </w:p>
    <w:p>
      <w:pPr>
        <w:pStyle w:val="CodeBlock"/>
        <w:shd w:fill="F8FAFC"/>
      </w:pPr>
      <w:r>
        <w:rPr>
          <w:rFonts w:ascii="Consolas" w:hAnsi="Consolas" w:eastAsia="Consolas"/>
          <w:color w:val="172033"/>
          <w:sz w:val="16"/>
        </w:rPr>
        <w:t>Browser (React + SVG)</w:t>
        <w:br/>
        <w:t xml:space="preserve">  -&gt; Nginx / CDN</w:t>
        <w:br/>
        <w:t xml:space="preserve">  -&gt; Go API (auth, config, order, policy)</w:t>
        <w:br/>
        <w:t xml:space="preserve">  -&gt; Redis (rate limit, queue, nonce)</w:t>
        <w:br/>
        <w:t xml:space="preserve">  -&gt; Go Worker (SVG renderer)</w:t>
        <w:br/>
        <w:t xml:space="preserve">  -&gt; resvg (SVG -&gt; PNG)</w:t>
        <w:br/>
        <w:t xml:space="preserve">  -&gt; Private S3/OSS/MinIO</w:t>
        <w:br/>
        <w:t xml:space="preserve">  -&gt; PostgreSQL (users, configs, generations, orders, audit)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701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425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职责</w:t>
            </w:r>
          </w:p>
        </w:tc>
        <w:tc>
          <w:tcPr>
            <w:tcW w:type="dxa" w:w="226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是否安全边界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React Web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编辑器、低清预览、草稿、交互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否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Go API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身份、权限、订单、策略、签名令牌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Go Worker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商业字体、高级纹理、正式文件生成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Redis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限流、任务状态、单次 nonce、短缓存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PostgreSQL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业务事实和审计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对象存储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私有正式文件和上传素材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是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Nginx/CDN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TLS、CSP、缓存、安全头、路由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部分</w:t>
            </w:r>
          </w:p>
        </w:tc>
      </w:tr>
    </w:tbl>
    <w:p/>
    <w:p>
      <w:pPr>
        <w:pStyle w:val="Heading1"/>
      </w:pPr>
      <w:r>
        <w:t>2. 仓库与模块结构</w:t>
      </w:r>
    </w:p>
    <w:p>
      <w:pPr>
        <w:pStyle w:val="CodeBlock"/>
        <w:shd w:fill="F8FAFC"/>
      </w:pPr>
      <w:r>
        <w:rPr>
          <w:rFonts w:ascii="Consolas" w:hAnsi="Consolas" w:eastAsia="Consolas"/>
          <w:color w:val="172033"/>
          <w:sz w:val="16"/>
        </w:rPr>
        <w:t>seal-platform/</w:t>
        <w:br/>
        <w:t>├─ apps/web/                 # React + TypeScript + Vite</w:t>
        <w:br/>
        <w:t>├─ apps/api/cmd/server/      # Go HTTP API</w:t>
        <w:br/>
        <w:t>├─ apps/worker/cmd/worker/   # Go 渲染 Worker</w:t>
        <w:br/>
        <w:t>├─ internal/seal/            # 几何、校验、SVG 渲染</w:t>
        <w:br/>
        <w:t>├─ internal/security/        # 权限、限流、令牌、审计</w:t>
        <w:br/>
        <w:t>├─ packages/schema/          # JSON Schema 与生成类型</w:t>
        <w:br/>
        <w:t>├─ deployments/              # Docker、Nginx、迁移</w:t>
        <w:br/>
        <w:t>└─ testdata/golden/          # 视觉回归基准</w:t>
      </w:r>
    </w:p>
    <w:p>
      <w:pPr>
        <w:pStyle w:val="Heading1"/>
      </w:pPr>
      <w:r>
        <w:t>3. SealConfig 协议</w:t>
      </w:r>
    </w:p>
    <w:p>
      <w:r>
        <w:t>配置是前端预览、后端生成、模板、历史和缓存键的唯一输入。服务端使用 JSON Schema 严格校验并拒绝未知字段。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58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字段组</w:t>
            </w:r>
          </w:p>
        </w:tc>
        <w:tc>
          <w:tcPr>
            <w:tcW w:type="dxa" w:w="3685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  <w:tc>
          <w:tcPr>
            <w:tcW w:type="dxa" w:w="379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设计说明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版本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schemaVersion, rendererVersion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支持迁移和视觉结果追踪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画布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logicalWidth=1000, logicalHeight=1000, exportWidth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所有几何先按逻辑坐标计算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形状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circle, ellipse, square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每种形状共享图层模型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图层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kind, content, fontId, size, spacing, transform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支持文字、图片、边框和内环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纹理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type, intensity, density, seed, applyTo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确定性蒙版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输出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format, transparent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正式权限不放在配置内</w:t>
            </w:r>
          </w:p>
        </w:tc>
      </w:tr>
    </w:tbl>
    <w:p/>
    <w:p>
      <w:pPr>
        <w:pStyle w:val="CodeBlock"/>
        <w:shd w:fill="F8FAFC"/>
      </w:pPr>
      <w:r>
        <w:rPr>
          <w:rFonts w:ascii="Consolas" w:hAnsi="Consolas" w:eastAsia="Consolas"/>
          <w:color w:val="172033"/>
          <w:sz w:val="16"/>
        </w:rPr>
        <w:t>type TextureConfig struct {</w:t>
        <w:br/>
        <w:t xml:space="preserve">    Enabled      bool     `json:"enabled"`</w:t>
        <w:br/>
        <w:t xml:space="preserve">    Type         string   `json:"type"`</w:t>
        <w:br/>
        <w:t xml:space="preserve">    Intensity    int      `json:"intensity"`</w:t>
        <w:br/>
        <w:t xml:space="preserve">    Density      int      `json:"density"`</w:t>
        <w:br/>
        <w:t xml:space="preserve">    GrainSize    int      `json:"grainSize"`</w:t>
        <w:br/>
        <w:t xml:space="preserve">    EdgeWear     int      `json:"edgeWear"`</w:t>
        <w:br/>
        <w:t xml:space="preserve">    ScratchCount int      `json:"scratchCount"`</w:t>
        <w:br/>
        <w:t xml:space="preserve">    Fade         int      `json:"fade"`</w:t>
        <w:br/>
        <w:t xml:space="preserve">    Seed         int32    `json:"seed"`</w:t>
        <w:br/>
        <w:t xml:space="preserve">    ApplyTo      []string `json:"applyTo"`</w:t>
        <w:br/>
        <w:t>}</w:t>
      </w:r>
    </w:p>
    <w:p>
      <w:pPr>
        <w:pStyle w:val="Heading1"/>
      </w:pPr>
      <w:r>
        <w:t>4. React 前端设计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669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建议实现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状态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Zustand；配置状态、UI 状态和历史栈分离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表单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React Hook Form + Zod/JSON Schema 派生校验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预览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React SVG；图层组件化；1000×1000 viewBox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文字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基础版 textPath；高级版逐字坐标和旋转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纹理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xorshift32 生成 SVG mask，预览分辨率受限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草稿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IndexedDB/localStorage；500ms 防抖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请求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统一 fetch client；CSRF、401 刷新、错误码映射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监控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错误监控使用私有 Source Map，不公开 .map 文件</w:t>
            </w:r>
          </w:p>
        </w:tc>
      </w:tr>
    </w:tbl>
    <w:p/>
    <w:p>
      <w:pPr>
        <w:pStyle w:val="Heading2"/>
      </w:pPr>
      <w:r>
        <w:t>4.1 撤销与重做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仅对用户可见配置建立快照，不把临时 hover、弹窗状态写入历史。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连续滑块拖动合并为一个操作。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模板加载、重置、历史恢复必须创建撤销点。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快照上限建议 40–100；大图片只保存 assetId，不复制二进制。</w:t>
      </w:r>
    </w:p>
    <w:p>
      <w:pPr>
        <w:pStyle w:val="Heading1"/>
      </w:pPr>
      <w:r>
        <w:t>5. 几何和文字渲染</w:t>
      </w:r>
    </w:p>
    <w:p>
      <w:r>
        <w:t>圆弧文字应采用逐字布局，以支持字距、横向缩放、椭圆路径和单字旋转。位置由椭圆参数方程计算，旋转使用椭圆切线方向。</w:t>
      </w:r>
    </w:p>
    <w:p>
      <w:pPr>
        <w:pStyle w:val="CodeBlock"/>
        <w:shd w:fill="F8FAFC"/>
      </w:pPr>
      <w:r>
        <w:rPr>
          <w:rFonts w:ascii="Consolas" w:hAnsi="Consolas" w:eastAsia="Consolas"/>
          <w:color w:val="172033"/>
          <w:sz w:val="16"/>
        </w:rPr>
        <w:t>x = cx + rx * cos(angle)</w:t>
        <w:br/>
        <w:t>y = cy + ry * sin(angle)</w:t>
        <w:br/>
        <w:t>rotation = atan2(ry * cos(angle), -rx * sin(angle))</w:t>
        <w:br/>
        <w:br/>
        <w:t>for each glyph:</w:t>
        <w:br/>
        <w:t xml:space="preserve">  measure glyph advance</w:t>
        <w:br/>
        <w:t xml:space="preserve">  assign angle by accumulated arc length</w:t>
        <w:br/>
        <w:t xml:space="preserve">  translate -&gt; rotate -&gt; scale -&gt; draw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前后端使用相同角度方向、原点、字体度量和小数舍入规则。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字体缺失时后端必须拒绝高级导出，而不是静默替换。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缓存键包含规范化配置哈希、字体版本、rendererVersion 和输出规格。</w:t>
      </w:r>
    </w:p>
    <w:p>
      <w:pPr>
        <w:pStyle w:val="Heading1"/>
      </w:pPr>
      <w:r>
        <w:t>6. 做旧纹理算法</w:t>
      </w:r>
    </w:p>
    <w:p>
      <w:r>
        <w:t>前端和 Go 使用 xorshift32；每次随机调用顺序必须固定。纹理在 1000×1000 逻辑坐标生成黑白蒙版，再按导出尺寸缩放。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58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7087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算法组成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ink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多尺度圆斑、局部簇、半透明缺失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grain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大量小颗粒，密度与粒径受参数控制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edge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沿形状边缘采样腐蚀点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scratch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具有长度、角度、线宽的刮痕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paper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纤维线、簇状孔洞和低频斑驳</w:t>
            </w:r>
          </w:p>
        </w:tc>
      </w:tr>
    </w:tbl>
    <w:p/>
    <w:p>
      <w:pPr>
        <w:pStyle w:val="Heading2"/>
      </w:pPr>
      <w:r>
        <w:t>6.1 一致性测试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1. 固定 30 组 SealConfig 和 seed。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2. React 输出 SVG，Go 输出 SVG。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3. 规范化 XML 后比较几何属性；PNG 转换后执行像素差异。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4. 允许抗锯齿小误差，但关键文字边界和纹理点位必须匹配。</w:t>
      </w:r>
    </w:p>
    <w:p>
      <w:pPr>
        <w:spacing w:after="40"/>
        <w:ind w:left="227" w:hanging="227"/>
      </w:pPr>
      <w:r>
        <w:rPr>
          <w:rFonts w:ascii="Microsoft YaHei" w:hAnsi="Microsoft YaHei" w:eastAsia="Microsoft YaHei"/>
          <w:color w:val="172033"/>
          <w:sz w:val="18"/>
        </w:rPr>
        <w:t>5. rendererVersion 变化时生成新基准，不覆盖旧历史。</w:t>
      </w:r>
    </w:p>
    <w:p>
      <w:pPr>
        <w:pStyle w:val="Heading1"/>
      </w:pPr>
      <w:r>
        <w:t>7. Go API 与任务系统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2835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28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294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关键安全点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POST /generations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创建高清任务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重算权限、严格校验、限流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GET /generations/{id}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查询状态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校验记录归属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POST /generations/{id}/download-token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签发下载令牌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绑定用户、格式、尺寸、TTL、nonce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GET /downloads/{token}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消费令牌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验签、单次消费、对象归属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POST /uploads/images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上传中心图片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MIME、大小、像素、重编码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POST /payments/callback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支付回调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验签、金额、幂等</w:t>
            </w:r>
          </w:p>
        </w:tc>
      </w:tr>
    </w:tbl>
    <w:p/>
    <w:p>
      <w:pPr>
        <w:pStyle w:val="Heading2"/>
      </w:pPr>
      <w:r>
        <w:t>7.1 任务幂等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generationKey = SHA-256(normalizedConfig + fontVersion + rendererVersion + exportSpec)。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相同用户短时间重复提交可复用任务或结果。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订单扣费与任务创建使用数据库事务或可靠事件。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Worker 使用租约和幂等状态更新，防止重复产出与重复通知。</w:t>
      </w:r>
    </w:p>
    <w:p>
      <w:pPr>
        <w:pStyle w:val="Heading1"/>
      </w:pPr>
      <w:r>
        <w:t>8. 数据库设计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2268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表</w:t>
            </w:r>
          </w:p>
        </w:tc>
        <w:tc>
          <w:tcPr>
            <w:tcW w:type="dxa" w:w="635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关键字段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users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id, status, membership_level, created_at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seal_configs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id, user_id, name, schema_version, config_jsonb, updated_at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assets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id, user_id, mime, file_key, width, height, sha256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generations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id, user_id, config_jsonb, renderer_version, status, preview_key, final_key, generation_key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orders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id, order_no, user_id, generation_id, amount, status, paid_at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download_tokens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nonce_hash, user_id, generation_id, expires_at, consumed_at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audit_events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actor, event_type, target_id, ip_hash, detail_jsonb, created_at</w:t>
            </w:r>
          </w:p>
        </w:tc>
      </w:tr>
    </w:tbl>
    <w:p/>
    <w:p>
      <w:pPr>
        <w:pStyle w:val="Heading1"/>
      </w:pPr>
      <w:r>
        <w:t>9. 权限与导出策略</w:t>
      </w:r>
    </w:p>
    <w:p>
      <w:pPr>
        <w:pStyle w:val="CodeBlock"/>
        <w:shd w:fill="F8FAFC"/>
      </w:pPr>
      <w:r>
        <w:rPr>
          <w:rFonts w:ascii="Consolas" w:hAnsi="Consolas" w:eastAsia="Consolas"/>
          <w:color w:val="172033"/>
          <w:sz w:val="16"/>
        </w:rPr>
        <w:t>type ExportPolicy struct {</w:t>
        <w:br/>
        <w:t xml:space="preserve">    AddWatermark bool</w:t>
        <w:br/>
        <w:t xml:space="preserve">    MaxWidth     int</w:t>
        <w:br/>
        <w:t xml:space="preserve">    AllowSVG     bool</w:t>
        <w:br/>
        <w:t xml:space="preserve">    AllowedFonts map[string]bool</w:t>
        <w:br/>
        <w:t xml:space="preserve">    AllowedTextures map[string]bool</w:t>
        <w:br/>
        <w:t>}</w:t>
        <w:br/>
        <w:br/>
        <w:t>// Policy is computed from server-side user, order and product data.</w:t>
        <w:br/>
        <w:t>// Client fields paid/vip/watermark are ignored.</w:t>
      </w:r>
    </w:p>
    <w:p>
      <w:pPr>
        <w:pStyle w:val="Heading1"/>
      </w:pPr>
      <w:r>
        <w:t>10. 缓存、限流和审计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9"/>
        <w:gridCol w:w="3289"/>
        <w:gridCol w:w="3289"/>
      </w:tblGrid>
      <w:tr>
        <w:trPr>
          <w:tblHeader w:val="true"/>
        </w:trPr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252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Redis 键示例</w:t>
            </w:r>
          </w:p>
        </w:tc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TTL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接口限流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rl:{route}:{user-or-ip}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60 秒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生成去重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genlock:{generationKey}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5 分钟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任务状态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job:{generationId}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24 小时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下载 nonce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download:{nonceHash}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120 秒</w:t>
            </w:r>
          </w:p>
        </w:tc>
      </w:tr>
      <w:tr>
        <w:trPr>
          <w:cantSplit/>
        </w:trPr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验证码挑战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challenge:{session}</w:t>
            </w:r>
          </w:p>
        </w:tc>
        <w:tc>
          <w:tcPr>
            <w:tcW w:type="dxa" w:w="3289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5 分钟</w:t>
            </w:r>
          </w:p>
        </w:tc>
      </w:tr>
    </w:tbl>
    <w:p/>
    <w:p>
      <w:pPr>
        <w:pStyle w:val="Heading1"/>
      </w:pPr>
      <w:r>
        <w:t>11. 部署与可观测性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Nginx 终止 TLS，静态资源使用内容哈希和长期缓存，API no-store。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API 与 Worker 分开扩容；Worker 设置 CPU、内存和任务超时。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PostgreSQL 自动备份；对象存储启用版本/生命周期策略。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指标：请求延迟、429、任务耗时、失败率、队列深度、令牌失败、支付回调异常。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日志不记录完整印章文本、支付密钥或原始签名令牌；敏感值散列或脱敏。</w:t>
      </w:r>
    </w:p>
    <w:p>
      <w:pPr>
        <w:pStyle w:val="Heading1"/>
      </w:pPr>
      <w:r>
        <w:t>12. 测试策略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rPr>
          <w:tblHeader w:val="true"/>
        </w:trPr>
        <w:tc>
          <w:tcPr>
            <w:tcW w:type="dxa" w:w="1984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6690"/>
            <w:shd w:fill="2563E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覆盖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单元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配置校验、几何、xorshift32、策略、令牌、幂等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契约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JSON Schema、OpenAPI、前后端类型生成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视觉回归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章型、长短文字、字体、椭圆、五种纹理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集成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PostgreSQL、Redis、对象存储、队列、支付模拟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安全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越权、字段篡改、重放、上传、CSRF、CSP、限流</w:t>
            </w:r>
          </w:p>
        </w:tc>
      </w:tr>
      <w:tr>
        <w:trPr>
          <w:cantSplit/>
        </w:trPr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性能</w:t>
            </w:r>
          </w:p>
        </w:tc>
        <w:tc>
          <w:tcPr>
            <w:tcW w:type="dxa" w:w="4933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  <w:shd w:fill="F8FAFC"/>
          </w:tcPr>
          <w:p>
            <w:r>
              <w:rPr>
                <w:rFonts w:ascii="Microsoft YaHei" w:hAnsi="Microsoft YaHei" w:eastAsia="Microsoft YaHei"/>
                <w:color w:val="172033"/>
                <w:sz w:val="17"/>
              </w:rPr>
              <w:t>1000/3000/5000px 导出及并发任务</w:t>
            </w:r>
          </w:p>
        </w:tc>
      </w:tr>
    </w:tbl>
    <w:p/>
    <w:p>
      <w:pPr>
        <w:pStyle w:val="Heading1"/>
      </w:pPr>
      <w:r>
        <w:t>附录：本交付包中的工程基线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seal-config.schema.json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texture-presets.json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security-policy.json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openapi.yaml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docker-compose.yml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vite.config.production.ts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nginx-security.conf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color w:val="172033"/>
          <w:sz w:val="18"/>
        </w:rPr>
        <w:t>go-security-middleware.go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  <w:fldChar w:fldCharType="begin"/>
      <w:instrText xml:space="preserve">PAGE</w:instrText>
      <w:fldChar w:fldCharType="end"/>
    </w:r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667085"/>
        <w:sz w:val="16"/>
      </w:rPr>
      <w:t>印章生成平台 V2  |  设计基线  |  2026-08-01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563E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203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C2410C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203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00"/>
      <w:ind w:left="283" w:right="283"/>
    </w:pPr>
    <w:rPr>
      <w:rFonts w:ascii="Consolas" w:hAnsi="Consolas" w:eastAsia="Microsoft YaHei"/>
      <w:color w:val="172033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