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宋体" w:hAnsi="宋体" w:eastAsia="宋体" w:cs="宋体"/>
          <w:b/>
          <w:sz w:val="32"/>
        </w:rPr>
        <w:t>2026 秋季《机械基础》期中考试（v3.1 样卷）</w:t>
      </w:r>
    </w:p>
    <w:p>
      <w:pPr>
        <w:spacing w:before="0" w:after="0" w:line="360" w:lineRule="auto"/>
        <w:jc w:val="center"/>
      </w:pPr>
      <w:r>
        <w:rPr>
          <w:rFonts w:ascii="微软雅黑" w:hAnsi="微软雅黑" w:eastAsia="微软雅黑" w:cs="微软雅黑"/>
          <w:b w:val="0"/>
          <w:sz w:val="21"/>
        </w:rPr>
        <w:t>满分：112 分</w:t>
      </w:r>
    </w:p>
    <w:p>
      <w:pPr>
        <w:tabs>
          <w:tab w:pos="1655" w:val="left" w:leader="underscore"/>
          <w:tab w:pos="3651" w:val="left" w:leader="underscore"/>
          <w:tab w:pos="5647" w:val="left" w:leader="underscore"/>
          <w:tab w:pos="7642" w:val="left" w:leader="underscore"/>
          <w:tab w:pos="9638" w:val="left" w:leader="underscore"/>
        </w:tabs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学号：</w:t>
      </w:r>
      <w:r>
        <w:tab/>
      </w:r>
      <w:r>
        <w:rPr>
          <w:rFonts w:ascii="微软雅黑" w:hAnsi="微软雅黑" w:eastAsia="微软雅黑" w:cs="微软雅黑"/>
          <w:b w:val="0"/>
          <w:sz w:val="21"/>
        </w:rPr>
        <w:t xml:space="preserve">　</w:t>
      </w:r>
      <w:r>
        <w:rPr>
          <w:rFonts w:ascii="微软雅黑" w:hAnsi="微软雅黑" w:eastAsia="微软雅黑" w:cs="微软雅黑"/>
          <w:b w:val="0"/>
          <w:sz w:val="21"/>
        </w:rPr>
        <w:t>座号：</w:t>
      </w:r>
      <w:r>
        <w:tab/>
      </w:r>
      <w:r>
        <w:rPr>
          <w:rFonts w:ascii="微软雅黑" w:hAnsi="微软雅黑" w:eastAsia="微软雅黑" w:cs="微软雅黑"/>
          <w:b w:val="0"/>
          <w:sz w:val="21"/>
        </w:rPr>
        <w:t xml:space="preserve">　</w:t>
      </w:r>
      <w:r>
        <w:rPr>
          <w:rFonts w:ascii="微软雅黑" w:hAnsi="微软雅黑" w:eastAsia="微软雅黑" w:cs="微软雅黑"/>
          <w:b w:val="0"/>
          <w:sz w:val="21"/>
        </w:rPr>
        <w:t>班级：</w:t>
      </w:r>
      <w:r>
        <w:tab/>
      </w:r>
      <w:r>
        <w:rPr>
          <w:rFonts w:ascii="微软雅黑" w:hAnsi="微软雅黑" w:eastAsia="微软雅黑" w:cs="微软雅黑"/>
          <w:b w:val="0"/>
          <w:sz w:val="21"/>
        </w:rPr>
        <w:t xml:space="preserve">　</w:t>
      </w:r>
      <w:r>
        <w:rPr>
          <w:rFonts w:ascii="微软雅黑" w:hAnsi="微软雅黑" w:eastAsia="微软雅黑" w:cs="微软雅黑"/>
          <w:b w:val="0"/>
          <w:sz w:val="21"/>
        </w:rPr>
        <w:t>姓名：</w:t>
      </w:r>
      <w:r>
        <w:tab/>
      </w:r>
      <w:r>
        <w:rPr>
          <w:rFonts w:ascii="微软雅黑" w:hAnsi="微软雅黑" w:eastAsia="微软雅黑" w:cs="微软雅黑"/>
          <w:b w:val="0"/>
          <w:sz w:val="21"/>
        </w:rPr>
        <w:t xml:space="preserve">　</w:t>
      </w:r>
      <w:r>
        <w:rPr>
          <w:rFonts w:ascii="微软雅黑" w:hAnsi="微软雅黑" w:eastAsia="微软雅黑" w:cs="微软雅黑"/>
          <w:b w:val="0"/>
          <w:sz w:val="21"/>
        </w:rPr>
        <w:t>得分：</w:t>
      </w:r>
      <w:r>
        <w:tab/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考场：第三考场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注意事项：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1. 请用黑色签字笔在答题卡上作答，卷面作答无效。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2. 考试时间 90 分钟，满分 100 分。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19"/>
        </w:rPr>
        <w:t>3. 作图题请使用铅笔，保持卷面整洁。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/>
          <w:sz w:val="24"/>
        </w:rPr>
        <w:t>一、单项选择题　（本大题共 20 小题，每题 3 分，共 60 分）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）1. 宝武集团在生产大型机床床身时，该零件需承受较大压力，应选用________性能优良的材料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before="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28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微软雅黑" w:hAnsi="微软雅黑" w:eastAsia="微软雅黑" w:cs="微软雅黑"/>
          <w:b w:val="0"/>
          <w:sz w:val="18"/>
        </w:rPr>
        <w:t>图 1 齿轮传动示意图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抗压强度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抗剪强度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疲劳强度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导热性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）2. 比亚迪新能源汽车生产电池外壳时，需通过冲压工艺成形，要求材料具有良好的________性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能。</w:t>
      </w:r>
    </w:p>
    <w:p>
      <w:pPr>
        <w:spacing w:before="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288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微软雅黑" w:hAnsi="微软雅黑" w:eastAsia="微软雅黑" w:cs="微软雅黑"/>
          <w:b w:val="0"/>
          <w:sz w:val="18"/>
        </w:rPr>
        <w:t>图 2 齿轮传动示意图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铸造性能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可锻性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切削加工性能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抗氧化性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）3. 不能通过拉伸试验来确定的性能指标是＿＿＿＿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断后伸长率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弹性模量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拉伸强度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疲劳强度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）4. 常用来测量有色金属和铸铁的硬度指标是＿＿＿＿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HB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HV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HRA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HRC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）5. 东方电气在制造锅炉的受热管时，管子需在高温下工作，需材料具备良好的________性能。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抗氧化性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导电性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切削加工性能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铸造性能</w:t>
            </w:r>
          </w:p>
        </w:tc>
      </w:tr>
    </w:tbl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）6. 根据锻压行业技术规范，对金属材料进行锻压加工时，若材料________好，则变形抗力小，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易于成形。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铸造性能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可锻性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焊接性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疲劳强度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）7. 根据航空制造行业技术规范，制造飞机发动机叶片（受高温）时，需材料具备良好的______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__，以抵抗高温氧化。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抗氧化性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导电性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热膨胀性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切削加工性能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）8. 根据机床制造行业常识，制造机床床身时，应选用________好的材料，以承受机床工作时的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压力。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抗拉强度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抗压强度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疲劳强度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冲击强度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）9. 根据机械加工行业常识，判断材料切削加工性能好坏的重要标准之一是________。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材料熔点高低</w:t>
            </w:r>
          </w:p>
        </w:tc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切削时切屑是否易折断</w:t>
            </w:r>
          </w:p>
        </w:tc>
      </w:tr>
      <w:tr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材料磁性强弱</w:t>
            </w:r>
          </w:p>
        </w:tc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材料密度大小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）10. 根据机械设计行业常识，设计承受冲击载荷的冲模时，除要求材料有足够强度和硬度外，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还需保证材料具有良好的________。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塑性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韧性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耐蚀性</w:t>
            </w:r>
          </w:p>
        </w:tc>
        <w:tc>
          <w:tcPr>
            <w:tcW w:type="dxa" w:w="240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导热性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）11. 对于Q340，下列说法正确的是＿＿＿＿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一种普通碳素结构钢</w:t>
            </w:r>
          </w:p>
        </w:tc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焊接性良好</w:t>
            </w:r>
          </w:p>
        </w:tc>
      </w:tr>
      <w:tr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抗拉强度为340MPa</w:t>
            </w:r>
          </w:p>
        </w:tc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合金元素含量在2.5％以上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）12. 根据 GB/T 1299—2014《工模具钢》，关于 “T8A 钢” 的说法，错误的是________。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“T” 表示非合金工具钢的类别符号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“8” 表示碳的平均质量分数为 0.8%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“A” 表示该钢为高级优质钢，硫磷含量更低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该钢塑性好，适合制造大型锻压模具</w:t>
            </w:r>
          </w:p>
        </w:tc>
      </w:tr>
    </w:tbl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）13. 根据 GB/T 699—2015《优质碳素结构钢》，“08 钢” 中 “08” 的含义是________。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碳的平均质量分数为 0.08%</w:t>
            </w:r>
          </w:p>
        </w:tc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碳的平均质量分数为 8%</w:t>
            </w:r>
          </w:p>
        </w:tc>
      </w:tr>
      <w:tr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锰的平均质量分数为 0.08%</w:t>
            </w:r>
          </w:p>
        </w:tc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屈服强度为 08MPa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）14. 关于非合金钢的整体应用，下列说法错误的是________。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非合金钢是工业中应用最广泛的金属材料之一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非合金钢的可锻性、焊接性优于合金钢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非合金工具钢主要用于制造高速切削刀具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铸钢适合制造形状复杂且承受冲击的零件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）15. 关于非合金钢中硅元素的作用，下列说法正确的是________。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硅能提高钢的硬度和耐磨性</w:t>
            </w:r>
          </w:p>
        </w:tc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硅能提高钢的强度，对塑性影响较小</w:t>
            </w:r>
          </w:p>
        </w:tc>
      </w:tr>
      <w:tr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硅是有害元素，会导致钢 “冷脆”</w:t>
            </w:r>
          </w:p>
        </w:tc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硅由原材料带入，无法控制含量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）16. 根据 GB/T 相关标准，关于金属材料洛氏硬度的说法，下列正确的是________。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洛氏硬度应用最广，适合测定淬火件、硬</w:t>
            </w:r>
            <w:r>
              <w:br/>
            </w:r>
            <w:r>
              <w:rPr>
                <w:rFonts w:ascii="微软雅黑" w:hAnsi="微软雅黑" w:eastAsia="微软雅黑" w:cs="微软雅黑"/>
                <w:b w:val="0"/>
                <w:sz w:val="24"/>
              </w:rPr>
              <w:t>质合金件等成品件表面硬度</w:t>
            </w:r>
          </w:p>
        </w:tc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洛氏硬度主要测定半成品或毛坯件，如灰</w:t>
            </w:r>
            <w:r>
              <w:br/>
            </w:r>
            <w:r>
              <w:rPr>
                <w:rFonts w:ascii="微软雅黑" w:hAnsi="微软雅黑" w:eastAsia="微软雅黑" w:cs="微软雅黑"/>
                <w:b w:val="0"/>
                <w:sz w:val="24"/>
              </w:rPr>
              <w:t>铸铁毛坯</w:t>
            </w:r>
          </w:p>
        </w:tc>
      </w:tr>
      <w:tr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洛氏硬度与布氏硬度可通过固定公式直接</w:t>
            </w:r>
            <w:r>
              <w:br/>
            </w:r>
            <w:r>
              <w:rPr>
                <w:rFonts w:ascii="微软雅黑" w:hAnsi="微软雅黑" w:eastAsia="微软雅黑" w:cs="微软雅黑"/>
                <w:b w:val="0"/>
                <w:sz w:val="24"/>
              </w:rPr>
              <w:t>换算</w:t>
            </w:r>
          </w:p>
        </w:tc>
        <w:tc>
          <w:tcPr>
            <w:tcW w:type="dxa" w:w="4819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洛氏硬度试验对零件损伤大，不适合测定</w:t>
            </w:r>
            <w:r>
              <w:br/>
            </w:r>
            <w:r>
              <w:rPr>
                <w:rFonts w:ascii="微软雅黑" w:hAnsi="微软雅黑" w:eastAsia="微软雅黑" w:cs="微软雅黑"/>
                <w:b w:val="0"/>
                <w:sz w:val="24"/>
              </w:rPr>
              <w:t>薄壁件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）17. 关于金属材料可锻性的说法，下列错误的是________。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可锻性是材料能否用锻压方法制成锻压件的性能，与塑性和变形抗力相关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黄铜和变形铝合金在室温下可锻性好，适合进行常温冲压成形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非合金钢在加热状态下可锻性提高，因此锻造时通常需要加热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铸铁的可锻性较好，可通过锻压方法制成复杂形状的锻件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）18. 关于金属材料疲劳强度的说法，下列错误的是________。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疲劳强度是材料在无限多次交变载荷下不破坏的最大应力，又称疲劳极限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测定钢铁材料疲劳强度时，通常规定承受 10⁷次交变载荷而不断裂的最大应力为指标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疲劳断裂是逐渐发生的，破坏前有明显塑性变形，危险性较低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可通过改善零件表面粗糙度、采用热处理等方法提高材料的疲劳强度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）19. 关于金属材料强度的说法，下列错误的是________。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强度是材料抵抗永久变形或断裂的能力，包括抗拉、抗压等多种类型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屈服强度和抗拉强度是工程上常用的强度指标，可通过拉伸试验测定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铸铁的抗拉强度高于钢，因此常用于制造承受拉力的零件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设计轴类零件时，需参考材料的抗扭强度指标以保证传递扭矩的能力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）20. 关于金属材料韧性的说法，下列正确的是________。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A. 韧性是材料在静载荷作用下抵抗断裂的能力，用抗拉强度表示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B. 夏比摆锤冲击试验可测定材料的韧性，冲击吸收能量值越低，韧性越好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C. 活塞销、锻锤杆等受冲击载荷的零件，需具备足够韧性以避免断裂</w:t>
            </w:r>
          </w:p>
        </w:tc>
      </w:tr>
      <w:tr>
        <w:tc>
          <w:tcPr>
            <w:tcW w:type="dxa" w:w="9638"/>
          </w:tcPr>
          <w:p>
            <w:pPr>
              <w:spacing w:before="0" w:after="0" w:line="360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24"/>
              </w:rPr>
              <w:t>D. 脆性材料的冲击吸收能量值高，因此适合制造承受冲击的零件</w:t>
            </w:r>
          </w:p>
        </w:tc>
      </w:tr>
    </w:tbl>
    <w:p>
      <w:pPr>
        <w:spacing w:before="0" w:after="0" w:line="360" w:lineRule="auto"/>
      </w:pPr>
      <w:r>
        <w:rPr>
          <w:rFonts w:ascii="微软雅黑" w:hAnsi="微软雅黑" w:eastAsia="微软雅黑" w:cs="微软雅黑"/>
          <w:b/>
          <w:sz w:val="24"/>
        </w:rPr>
        <w:t>二、判断题　（本大题共 5 小题，每题 2 分，共 10 分）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）21. HRC是指布氏硬度。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）22. 宝武集团在生产大型机床床身时，选用灰铸铁作为原材料，因为灰铸铁的抗压强度高和减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震性高，能承受机床工作时的压力。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）23. 比亚迪新能源汽车在生产电池外壳时，采用冲压工艺，选用了可锻性好的低碳钢，因为低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碳钢室温下易冲压成形。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）24. 常见的力学性能有强度、塑性、硬度、韧性和疲劳强度等。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（　　）25. 东方电气在制造锅炉受热管时，选用了耐热钢，因为受热管在高温下工作，需抵抗氧气氧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化以防止管壁变薄。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/>
          <w:sz w:val="24"/>
        </w:rPr>
        <w:t>三、填空题　（本大题共 3 小题，每题 4 分，共 12 分）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26. 在对一级齿轮减速器进行维护时，发现连接箱体的螺栓锈蚀，连接从动轴和大齿轮的________也损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坏，需要确定规格并进行更换。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27. 销是标准件，主要用作________零件以固定零件间相互位置，也可作为连接销传递不大的载荷，或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作为________中的过载剪断零件。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28. 按外形分类，常用的销有圆柱销、________和开口销等。其中，________有1:50的锥度，受横向力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时能自锁，定位精度高，适用于经常拆装的场合。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/>
          <w:sz w:val="24"/>
        </w:rPr>
        <w:t>四、简答题　（本大题共 3 小题，每题 10 分，共 30 分）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29. 试述齿轮传动中模数与齿数的关系（第 1 问）。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30. 试述齿轮传动中模数与齿数的关系（第 2 问）。</w:t>
      </w:r>
    </w:p>
    <w:p>
      <w:pPr>
        <w:spacing w:before="0" w:after="0" w:line="360" w:lineRule="auto"/>
      </w:pPr>
      <w:r>
        <w:rPr>
          <w:rFonts w:ascii="微软雅黑" w:hAnsi="微软雅黑" w:eastAsia="微软雅黑" w:cs="微软雅黑"/>
          <w:b w:val="0"/>
          <w:sz w:val="21"/>
        </w:rPr>
        <w:t>31. 试述齿轮传动中模数与齿数的关系（第 3 问）。</w:t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p>
      <w:pPr>
        <w:spacing w:before="0" w:after="0" w:line="454" w:lineRule="exact"/>
      </w:pPr>
      <w:r>
        <w:rPr>
          <w:rFonts w:ascii="微软雅黑" w:hAnsi="微软雅黑" w:eastAsia="微软雅黑" w:cs="微软雅黑"/>
          <w:b w:val="0"/>
          <w:sz w:val="21"/>
        </w:rPr>
      </w:r>
    </w:p>
    <w:sectPr w:rsidR="00FC693F" w:rsidRPr="0006063C" w:rsidSect="00034616">
      <w:footerReference w:type="default" r:id="rId11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60" w:lineRule="auto"/>
      <w:jc w:val="center"/>
    </w:pPr>
    <w:r>
      <w:rPr>
        <w:rFonts w:ascii="微软雅黑" w:hAnsi="微软雅黑" w:eastAsia="微软雅黑" w:cs="微软雅黑"/>
        <w:b w:val="0"/>
        <w:sz w:val="16"/>
      </w:rPr>
      <w:t xml:space="preserve">第 </w:t>
    </w:r>
    <w:fldSimple w:instr=" PAGE ">
      <w:r>
        <w:rPr>
          <w:rFonts w:eastAsia="微软雅黑" w:ascii="微软雅黑" w:hAnsi="微软雅黑"/>
          <w:sz w:val="16"/>
        </w:rPr>
        <w:t>1</w:t>
      </w:r>
    </w:fldSimple>
    <w:r>
      <w:rPr>
        <w:rFonts w:ascii="微软雅黑" w:hAnsi="微软雅黑" w:eastAsia="微软雅黑" w:cs="微软雅黑"/>
        <w:b w:val="0"/>
        <w:sz w:val="16"/>
      </w:rPr>
      <w:t xml:space="preserve"> 页 / 共 </w:t>
    </w:r>
    <w:fldSimple w:instr=" NUMPAGES ">
      <w:r>
        <w:rPr>
          <w:rFonts w:eastAsia="微软雅黑" w:ascii="微软雅黑" w:hAnsi="微软雅黑"/>
          <w:sz w:val="16"/>
        </w:rPr>
        <w:t>1</w:t>
      </w:r>
    </w:fldSimple>
    <w:r>
      <w:rPr>
        <w:rFonts w:ascii="微软雅黑" w:hAnsi="微软雅黑" w:eastAsia="微软雅黑" w:cs="微软雅黑"/>
        <w:b w:val="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