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38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drawing>
                <wp:inline distT="0" distB="0" distL="0" distR="0">
                  <wp:extent cx="1428750" cy="381000"/>
                  <wp:effectExtent t="0" r="0" b="0" l="0"/>
                  <wp:docPr id="1" name="logo" descr="SimReal logo" title="SimRe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/>
              <w:jc w:val="right"/>
            </w:pPr>
            <w:r>
              <w:rPr>
                <w:rFonts w:ascii="Arial" w:cs="Arial" w:eastAsia="Microsoft YaHei" w:hAnsi="Arial"/>
                <w:color w:val="6E6C66"/>
                <w:sz w:val="16"/>
                <w:szCs w:val="16"/>
              </w:rPr>
              <w:t xml:space="preserve">报价单编号：SR-PL-2026-09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Microsoft YaHei" w:hAnsi="Arial"/>
                <w:color w:val="6E6C66"/>
                <w:sz w:val="16"/>
                <w:szCs w:val="16"/>
              </w:rPr>
              <w:t xml:space="preserve">版本：V1.0　日期：2026 年 9 月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Microsoft YaHei" w:hAnsi="Arial"/>
                <w:color w:val="6E6C66"/>
                <w:sz w:val="16"/>
                <w:szCs w:val="16"/>
              </w:rPr>
              <w:t xml:space="preserve">有效期：自发出之日起 30 天</w:t>
            </w:r>
          </w:p>
        </w:tc>
      </w:tr>
    </w:tbl>
    <w:p>
      <w:pPr>
        <w:spacing w:after="40" w:before="360" w:line="290"/>
      </w:pPr>
      <w:r>
        <w:rPr>
          <w:rFonts w:ascii="Arial" w:cs="Arial" w:eastAsia="Microsoft YaHei" w:hAnsi="Arial"/>
          <w:b/>
          <w:bCs/>
          <w:color w:val="111110"/>
          <w:sz w:val="40"/>
          <w:szCs w:val="40"/>
        </w:rPr>
        <w:t xml:space="preserve">产品与服务报价单</w:t>
      </w:r>
    </w:p>
    <w:p>
      <w:pPr>
        <w:pBdr>
          <w:bottom w:val="single" w:color="111110" w:sz="6" w:space="4"/>
        </w:pBdr>
        <w:spacing w:after="200" w:before="0" w:line="290"/>
      </w:pPr>
      <w:r>
        <w:rPr>
          <w:rFonts w:ascii="Arial" w:cs="Arial" w:eastAsia="Microsoft YaHei" w:hAnsi="Arial"/>
          <w:color w:val="6E6C66"/>
          <w:sz w:val="20"/>
          <w:szCs w:val="20"/>
        </w:rPr>
        <w:t xml:space="preserve">Products &amp; Services Price List</w:t>
      </w:r>
    </w:p>
    <w:p>
      <w:pPr>
        <w:keepNext/>
        <w:pBdr>
          <w:bottom w:val="single" w:color="111110" w:sz="6" w:space="4"/>
        </w:pBdr>
        <w:spacing w:after="140" w:before="320" w:line="290"/>
      </w:pPr>
      <w:r>
        <w:rPr>
          <w:rFonts w:ascii="Arial" w:cs="Arial" w:eastAsia="Microsoft YaHei" w:hAnsi="Arial"/>
          <w:b/>
          <w:bCs/>
          <w:color w:val="C2410C"/>
          <w:sz w:val="24"/>
          <w:szCs w:val="24"/>
        </w:rPr>
        <w:t xml:space="preserve">01  </w:t>
      </w: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关于 SimReal</w:t>
      </w:r>
    </w:p>
    <w:p>
      <w:pPr>
        <w:spacing w:after="100" w:before="0" w:line="290"/>
      </w:pPr>
      <w:r>
        <w:rPr>
          <w:rFonts w:ascii="Arial" w:cs="Arial" w:eastAsia="Microsoft YaHei" w:hAnsi="Arial"/>
          <w:color w:val="33322F"/>
          <w:sz w:val="19"/>
          <w:szCs w:val="19"/>
        </w:rPr>
        <w:t xml:space="preserve">SimReal 为大模型公司和 AI 应用企业提供后训练所需的专家数据、评测体系和 RL 训练环境，帮助模型在金融、法律、医疗、代码等专业领域完成真实工作。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团队：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创始团队来自剑桥、LSE、杜克，具有 Jane Street、Citadel、D. E. Shaw、Millennium、Optiver 从业经历。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专家网络：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7,000+ 行业专家已报名，通过 21 所合作高校可触达 20 万+ 专业人士。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质量：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评分标准与验证器上线前均经对抗测试；旗舰交易环境 Xitadel 使开源模型交易表现提升 12%。</w:t>
      </w:r>
    </w:p>
    <w:p>
      <w:pPr>
        <w:keepNext/>
        <w:pBdr>
          <w:bottom w:val="single" w:color="111110" w:sz="6" w:space="4"/>
        </w:pBdr>
        <w:spacing w:after="140" w:before="320" w:line="290"/>
      </w:pPr>
      <w:r>
        <w:rPr>
          <w:rFonts w:ascii="Arial" w:cs="Arial" w:eastAsia="Microsoft YaHei" w:hAnsi="Arial"/>
          <w:b/>
          <w:bCs/>
          <w:color w:val="C2410C"/>
          <w:sz w:val="24"/>
          <w:szCs w:val="24"/>
        </w:rPr>
        <w:t xml:space="preserve">02  </w:t>
      </w: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报价清单</w:t>
      </w:r>
    </w:p>
    <w:p>
      <w:pPr>
        <w:spacing w:after="140" w:before="0" w:line="290"/>
      </w:pPr>
      <w:r>
        <w:rPr>
          <w:rFonts w:ascii="Arial" w:cs="Arial" w:eastAsia="Microsoft YaHei" w:hAnsi="Arial"/>
          <w:color w:val="6E6C66"/>
          <w:sz w:val="17"/>
          <w:szCs w:val="17"/>
        </w:rPr>
        <w:t xml:space="preserve">以下为参考单价区间。具体单价按领域、难度、数据格式、数量与交付周期确定，以双方确认的需求说明书（SOW）为准。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2050"/>
        <w:gridCol w:w="2800"/>
        <w:gridCol w:w="1000"/>
        <w:gridCol w:w="1600"/>
        <w:gridCol w:w="1428"/>
      </w:tblGrid>
      <w:tr>
        <w:trPr>
          <w:cantSplit/>
          <w:tblHeader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编号</w:t>
            </w:r>
          </w:p>
        </w:tc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产品 / 服务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规格说明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计价单位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参考单价（RMB）</w:t>
            </w:r>
          </w:p>
        </w:tc>
        <w:tc>
          <w:tcPr>
            <w:tcW w:type="dxa" w:w="14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参考单价（USD）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shd w:fill="F2F0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C2410C"/>
                <w:sz w:val="18"/>
                <w:szCs w:val="18"/>
              </w:rPr>
              <w:t xml:space="preserve">A</w:t>
            </w: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   专家数据</w:t>
            </w:r>
            <w:r>
              <w:rPr>
                <w:rFonts w:ascii="Arial" w:cs="Arial" w:eastAsia="Microsoft YaHei" w:hAnsi="Arial"/>
                <w:color w:val="6E6C66"/>
                <w:sz w:val="16"/>
                <w:szCs w:val="16"/>
              </w:rPr>
              <w:t xml:space="preserve">   Expert Data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A01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专家 SFT 指令数据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行业专家撰写的指令与高质量回答；金融、法律、医疗等领域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条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200 – 1,000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30 – 150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A02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CoT / Reasoning 推理数据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含完整推理步骤的解答，覆盖数学、代码、金融等，逐步校验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条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250 – 1,200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40 – 180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A03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复杂 Query 构造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真实场景、多约束的高难度问题，现有模型答不好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题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100 – 500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20 – 80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A04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参考答案（Reference Answer）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为难题撰写可核验的标准答案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题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100 – 600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20 – 100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A05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RLHF 偏好数据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专家对多个回答排序或二选一，附判断理由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对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50 – 400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10 – 60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A06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Reward 打分数据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按维度为回答打分，用于奖励模型训练与校准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条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20 – 150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5 – 25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A07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代码 SFT / 调试数据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需求到代码、报错定位与修复；附测试用例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条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200 – 1,000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30 – 150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shd w:fill="F2F0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C2410C"/>
                <w:sz w:val="18"/>
                <w:szCs w:val="18"/>
              </w:rPr>
              <w:t xml:space="preserve">B</w:t>
            </w: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   Rubric 与评测</w:t>
            </w:r>
            <w:r>
              <w:rPr>
                <w:rFonts w:ascii="Arial" w:cs="Arial" w:eastAsia="Microsoft YaHei" w:hAnsi="Arial"/>
                <w:color w:val="6E6C66"/>
                <w:sz w:val="16"/>
                <w:szCs w:val="16"/>
              </w:rPr>
              <w:t xml:space="preserve">   Rubrics &amp; Evaluation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B01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Rubric 设计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可逐条检查的评分标准，含参考答案；上线前对抗测试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题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800 – 4,000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120 – 600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B02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Rubric 逐项评分与质检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按 Rubric 逐项打分，含抽检复核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条回答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30 – 150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5 – 25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B03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LLM-as-a-Judge 校准数据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专家逐项分数与理由，用于训练或校准评测模型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条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100 – 400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15 – 60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B04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私有评测集 / Benchmark 定制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200–1,000 题，含 Rubric、评分脚本与报告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项目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200,000 起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30,000 起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shd w:fill="F2F0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C2410C"/>
                <w:sz w:val="18"/>
                <w:szCs w:val="18"/>
              </w:rPr>
              <w:t xml:space="preserve">C</w:t>
            </w: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   Agent 数据</w:t>
            </w:r>
            <w:r>
              <w:rPr>
                <w:rFonts w:ascii="Arial" w:cs="Arial" w:eastAsia="Microsoft YaHei" w:hAnsi="Arial"/>
                <w:color w:val="6E6C66"/>
                <w:sz w:val="16"/>
                <w:szCs w:val="16"/>
              </w:rPr>
              <w:t xml:space="preserve">   Agent Data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C01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Agent 长程轨迹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专家实跑的完整 Session：多轮对话、30 次以上工具调用、中间过程全保留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1,000 – 8,000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150 – 1,200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C02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DeepResearch 数据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研究题目、检索轨迹、引用来源与最终报告，配 Rubric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题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1,500 – 10,000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250 – 1,500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shd w:fill="F2F0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C2410C"/>
                <w:sz w:val="18"/>
                <w:szCs w:val="18"/>
              </w:rPr>
              <w:t xml:space="preserve">D</w:t>
            </w: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   RL 训练环境</w:t>
            </w:r>
            <w:r>
              <w:rPr>
                <w:rFonts w:ascii="Arial" w:cs="Arial" w:eastAsia="Microsoft YaHei" w:hAnsi="Arial"/>
                <w:color w:val="6E6C66"/>
                <w:sz w:val="16"/>
                <w:szCs w:val="16"/>
              </w:rPr>
              <w:t xml:space="preserve">   RL Environments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D01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RL 任务（含验证器）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可自动评分的训练任务，验证器经对抗测试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任务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2,000 – 12,000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300 – 2,000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D02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终端任务（Terminal-Bench 类）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命令行环境中的多步 Agent 任务，含测试与自动评分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任务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2,000 – 12,000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300 – 2,000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D03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标准环境授权（非独家）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交易、财务月结、软件工程、数学证明、逻辑推理、AI 研究、未来预测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环境 / 季度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300,000 起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50,000 起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D04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企业定制环境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围绕客户工作流搭建专属训练环境与验证器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项目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500,000 起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80,000 起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shd w:fill="F2F0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C2410C"/>
                <w:sz w:val="18"/>
                <w:szCs w:val="18"/>
              </w:rPr>
              <w:t xml:space="preserve">E</w:t>
            </w: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   服务</w:t>
            </w:r>
            <w:r>
              <w:rPr>
                <w:rFonts w:ascii="Arial" w:cs="Arial" w:eastAsia="Microsoft YaHei" w:hAnsi="Arial"/>
                <w:color w:val="6E6C66"/>
                <w:sz w:val="16"/>
                <w:szCs w:val="16"/>
              </w:rPr>
              <w:t xml:space="preserve">   Services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E01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试点（Pilot）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50–200 条样本，验证质量与流程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项目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20,000 – 100,000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5,000 – 15,000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E02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持续训练服务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模型每次升级后，回到环境继续训练与对比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季度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面议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面议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shd w:fill="F2F0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C2410C"/>
                <w:sz w:val="18"/>
                <w:szCs w:val="18"/>
              </w:rPr>
              <w:t xml:space="preserve">F</w:t>
            </w: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   多模态与原始数据</w:t>
            </w:r>
            <w:r>
              <w:rPr>
                <w:rFonts w:ascii="Arial" w:cs="Arial" w:eastAsia="Microsoft YaHei" w:hAnsi="Arial"/>
                <w:color w:val="6E6C66"/>
                <w:sz w:val="16"/>
                <w:szCs w:val="16"/>
              </w:rPr>
              <w:t xml:space="preserve">   Multimodal &amp; Raw Data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F01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多模态训练与评测数据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图文、视频、音频的 SFT、偏好与评测数据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条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按量报价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按量报价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6E6C66"/>
                <w:sz w:val="17"/>
                <w:szCs w:val="17"/>
              </w:rPr>
              <w:t xml:space="preserve">F02</w:t>
            </w:r>
          </w:p>
        </w:tc>
        <w:tc>
          <w:tcPr>
            <w:tcW w:type="dxa" w:w="205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b/>
                <w:bCs/>
                <w:color w:val="111110"/>
                <w:sz w:val="18"/>
                <w:szCs w:val="18"/>
              </w:rPr>
              <w:t xml:space="preserve">原始数据资源</w:t>
            </w:r>
          </w:p>
        </w:tc>
        <w:tc>
          <w:tcPr>
            <w:tcW w:type="dxa" w:w="28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图片、视频、音频、文本及海外多语种原始数据，合规采集</w:t>
            </w:r>
          </w:p>
        </w:tc>
        <w:tc>
          <w:tcPr>
            <w:tcW w:type="dxa" w:w="10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Microsoft YaHei" w:hAnsi="Arial"/>
                <w:color w:val="33322F"/>
                <w:sz w:val="17"/>
                <w:szCs w:val="17"/>
              </w:rPr>
              <w:t xml:space="preserve">批次</w:t>
            </w:r>
          </w:p>
        </w:tc>
        <w:tc>
          <w:tcPr>
            <w:tcW w:type="dxa" w:w="1600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按量报价</w:t>
            </w:r>
          </w:p>
        </w:tc>
        <w:tc>
          <w:tcPr>
            <w:tcW w:type="dxa" w:w="1428"/>
            <w:tcBorders>
              <w:top w:val="single" w:color="D9D6CF" w:sz="4"/>
              <w:left w:val="none" w:color="FFFFFF" w:sz="0"/>
              <w:bottom w:val="single" w:color="D9D6CF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Arial" w:cs="Arial" w:eastAsia="Microsoft YaHei" w:hAnsi="Arial"/>
                <w:color w:val="111110"/>
                <w:sz w:val="18"/>
                <w:szCs w:val="18"/>
              </w:rPr>
              <w:t xml:space="preserve">按量报价</w:t>
            </w:r>
          </w:p>
        </w:tc>
      </w:tr>
    </w:tbl>
    <w:p>
      <w:pPr>
        <w:keepNext/>
        <w:pBdr>
          <w:bottom w:val="single" w:color="111110" w:sz="6" w:space="4"/>
        </w:pBdr>
        <w:spacing w:after="140" w:before="320" w:line="290"/>
      </w:pPr>
      <w:r>
        <w:rPr>
          <w:rFonts w:ascii="Arial" w:cs="Arial" w:eastAsia="Microsoft YaHei" w:hAnsi="Arial"/>
          <w:b/>
          <w:bCs/>
          <w:color w:val="C2410C"/>
          <w:sz w:val="24"/>
          <w:szCs w:val="24"/>
        </w:rPr>
        <w:t xml:space="preserve">03  </w:t>
      </w: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商务条款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报价有效期：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自本报价单发出之日起 30 天。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计价与起订：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按条、题、Session、任务或项目计价；首次合作建议从试点开始，试点费用可协商抵扣后续合同。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付款方式：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签约后预付 50%，交付验收后支付余款；长期合同可按月或按季度结算。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交付与验收：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按批次交付，格式可按客户要求（如 JSONL）；客户收到后 5 个工作日内完成抽检，抽检合格率不低于 95%，不合格部分免费返工。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独家与加急：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独家交付、加急交付另行报价。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数据权属与保密：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交付数据的使用权归客户，独家交付时知识产权一并转让；双方签署保密协议，专家个人信息脱敏处理。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合作方价格：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渠道与交付合作方可享合作价，具体比例按合作协议约定。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税费与发票：</w:t>
      </w:r>
      <w:r>
        <w:rPr>
          <w:rFonts w:ascii="Arial" w:cs="Arial" w:eastAsia="Microsoft YaHei" w:hAnsi="Arial"/>
          <w:color w:val="33322F"/>
          <w:sz w:val="19"/>
          <w:szCs w:val="19"/>
        </w:rPr>
        <w:t xml:space="preserve">以合同约定为准。</w:t>
      </w:r>
    </w:p>
    <w:p>
      <w:pPr>
        <w:keepNext/>
        <w:pBdr>
          <w:bottom w:val="single" w:color="111110" w:sz="6" w:space="4"/>
        </w:pBdr>
        <w:spacing w:after="140" w:before="320" w:line="290"/>
      </w:pPr>
      <w:r>
        <w:rPr>
          <w:rFonts w:ascii="Arial" w:cs="Arial" w:eastAsia="Microsoft YaHei" w:hAnsi="Arial"/>
          <w:b/>
          <w:bCs/>
          <w:color w:val="C2410C"/>
          <w:sz w:val="24"/>
          <w:szCs w:val="24"/>
        </w:rPr>
        <w:t xml:space="preserve">04  </w:t>
      </w:r>
      <w:r>
        <w:rPr>
          <w:rFonts w:ascii="Arial" w:cs="Arial" w:eastAsia="Microsoft YaHei" w:hAnsi="Arial"/>
          <w:b/>
          <w:bCs/>
          <w:color w:val="111110"/>
          <w:sz w:val="24"/>
          <w:szCs w:val="24"/>
        </w:rPr>
        <w:t xml:space="preserve">联系方式</w:t>
      </w:r>
    </w:p>
    <w:p>
      <w:pPr>
        <w:spacing w:after="60"/>
      </w:pPr>
      <w:r>
        <w:rPr>
          <w:rFonts w:ascii="Arial" w:cs="Arial" w:eastAsia="Microsoft YaHei" w:hAnsi="Arial"/>
          <w:color w:val="6E6C66"/>
          <w:sz w:val="19"/>
          <w:szCs w:val="19"/>
        </w:rPr>
        <w:t xml:space="preserve">商务合作　</w:t>
      </w: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business@simreal.co</w:t>
      </w:r>
    </w:p>
    <w:p>
      <w:pPr>
        <w:spacing w:after="60"/>
      </w:pPr>
      <w:r>
        <w:rPr>
          <w:rFonts w:ascii="Arial" w:cs="Arial" w:eastAsia="Microsoft YaHei" w:hAnsi="Arial"/>
          <w:color w:val="6E6C66"/>
          <w:sz w:val="19"/>
          <w:szCs w:val="19"/>
        </w:rPr>
        <w:t xml:space="preserve">官方网站　</w:t>
      </w:r>
      <w:r>
        <w:rPr>
          <w:rFonts w:ascii="Arial" w:cs="Arial" w:eastAsia="Microsoft YaHei" w:hAnsi="Arial"/>
          <w:b/>
          <w:bCs/>
          <w:color w:val="111110"/>
          <w:sz w:val="19"/>
          <w:szCs w:val="19"/>
        </w:rPr>
        <w:t xml:space="preserve">simreal.co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F" w:sz="4" w:space="6"/>
      </w:pBdr>
      <w:tabs>
        <w:tab w:val="right" w:pos="9638"/>
      </w:tabs>
    </w:pPr>
    <w:r>
      <w:rPr>
        <w:rFonts w:ascii="Arial" w:cs="Arial" w:eastAsia="Microsoft YaHei" w:hAnsi="Arial"/>
        <w:color w:val="6E6C66"/>
        <w:sz w:val="15"/>
        <w:szCs w:val="15"/>
      </w:rPr>
      <w:t xml:space="preserve">SimReal · 产品与服务报价单 · 保密</w:t>
    </w:r>
    <w:r>
      <w:rPr>
        <w:rFonts w:ascii="Arial" w:cs="Arial" w:eastAsia="Microsoft YaHei" w:hAnsi="Arial"/>
      </w:rPr>
      <w:t xml:space="preserve">	</w:t>
    </w:r>
    <w:r>
      <w:rPr>
        <w:rFonts w:ascii="Arial" w:cs="Arial" w:eastAsia="Microsoft YaHei" w:hAnsi="Arial"/>
        <w:color w:val="6E6C66"/>
        <w:sz w:val="15"/>
        <w:szCs w:val="15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C2410C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80" w:hanging="320"/>
      </w:pPr>
      <w:rPr>
        <w:b/>
        <w:bCs/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33322F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8272570d1a7dc57e6cb97b736146312974976f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SimReal 产品与服务报价单</dc:title>
  <dc:creator>SimReal</dc:creator>
  <cp:lastModifiedBy>Un-named</cp:lastModifiedBy>
  <cp:revision>1</cp:revision>
  <dcterms:created xsi:type="dcterms:W3CDTF">2026-09-29T11:30:18.636Z</dcterms:created>
  <dcterms:modified xsi:type="dcterms:W3CDTF">2026-09-29T11:30:18.650Z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