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619250" cy="438150"/>
            <wp:effectExtent t="0" r="0" b="0" l="0"/>
            <wp:docPr id="1" name="logo" descr="SimReal logo" title="Sim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</w:pPr>
      <w:r>
        <w:rPr>
          <w:rFonts w:ascii="Arial" w:cs="Arial" w:eastAsia="Microsoft YaHei" w:hAnsi="Arial"/>
          <w:b/>
          <w:bCs/>
          <w:color w:val="111110"/>
          <w:sz w:val="40"/>
          <w:szCs w:val="40"/>
        </w:rPr>
        <w:t xml:space="preserve">公司简介、产品清单与参考报价</w:t>
      </w:r>
    </w:p>
    <w:p>
      <w:pPr>
        <w:spacing w:after="240" w:before="0" w:line="300"/>
      </w:pPr>
      <w:r>
        <w:rPr>
          <w:rFonts w:ascii="Arial" w:cs="Arial" w:eastAsia="Microsoft YaHei" w:hAnsi="Arial"/>
          <w:color w:val="6E6C66"/>
          <w:sz w:val="18"/>
          <w:szCs w:val="18"/>
        </w:rPr>
        <w:t xml:space="preserve">2026 年 9 月</w:t>
      </w:r>
    </w:p>
    <w:p>
      <w:pPr>
        <w:spacing w:after="120" w:before="0" w:line="300"/>
      </w:pPr>
      <w:r>
        <w:rPr>
          <w:rFonts w:ascii="Arial" w:cs="Arial" w:eastAsia="Microsoft YaHei" w:hAnsi="Arial"/>
          <w:b/>
          <w:bCs/>
          <w:color w:val="C2410C"/>
          <w:sz w:val="28"/>
          <w:szCs w:val="28"/>
        </w:rPr>
        <w:t xml:space="preserve">让 AI 从会考试，变成会干活。</w:t>
      </w:r>
    </w:p>
    <w:p>
      <w:pPr>
        <w:spacing w:after="120" w:before="0" w:line="300"/>
      </w:pPr>
      <w:r>
        <w:rPr>
          <w:rFonts w:ascii="Arial" w:cs="Arial" w:eastAsia="Microsoft YaHei" w:hAnsi="Arial"/>
          <w:color w:val="33322F"/>
          <w:sz w:val="20"/>
          <w:szCs w:val="20"/>
        </w:rPr>
        <w:t xml:space="preserve">SimReal 为大模型公司和 AI 应用企业搭建真实工作的训练环境，提供行业专家数据和评测。AI 在环境里做真实的事，按真实结果打分，再用结果训练自己，在金融、法律、医疗、代码等专业领域越练越强。</w:t>
      </w:r>
    </w:p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一、公司简介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团队：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四位量化出身的创始人，来自剑桥、LSE、杜克，有 Jane Street、Citadel、D. E. Shaw、Millennium、Optiver 的从业经历，以及剑桥机器学习研究背景；四人都放弃了顶级量化机构的 return offer。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进展：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成立 14 天做出 7 款产品；旗舰交易环境 Xitadel 让开源模型 Qwen3.8-27B 在从未见过的真实行情上交易表现提升 12%，多次独立运行均复现；两家前沿 AI 实验室在洽谈；已与 Surge AI、AfterQuery 合作；正在融资。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专家网络：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7,000+ 专家已报名，通过 21 所合作高校可触达 20 万+ 专业人士，覆盖金融、法律、医疗、供应链、代码等领域。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质量：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每个环境和评分标准上线前都做对抗测试。谜题基准经受 400 次作弊攻击，0 次成功；财务月结环境评分漏洞从 6 个降到 0。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独立中立：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不接受模型公司入股，每家客户都能放心采购。</w:t>
      </w:r>
    </w:p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二、产品清单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200"/>
        <w:gridCol w:w="3438"/>
      </w:tblGrid>
      <w:tr>
        <w:trPr>
          <w:cantSplit/>
          <w:tblHeader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产品线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包含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专家数据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SFT 指令数据、CoT 推理链、复杂 Query 构造、Reference Answer、RLHF 偏好数据、Reward 数据、代码 SFT 与调试数据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行业专家出题、写答案、做判断，用于模型训练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Rubric 与评测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Rubric 设计与拆解、逐项评分与质检、LLM-as-a-Judge 数据、私有评测集、Benchmark 定制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把好答案拆成可逐条检查的评分标准，测出模型真实水平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Agent 数据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多轮工具调用轨迹、长程任务、完整 Session、DeepResearch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记录 Agent 完成长任务的全过程，含工具调用与中间步骤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 训练环境与验证器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交易、财务月结、软件工程、数学证明、逻辑推理、AI 研究、未来预测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模型在环境里反复练习，验证器按真实结果自动打分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企业定制与持续训练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专属训练环境、专属评测、持续训练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围绕客户自己的工作流搭建；模型每次升级都回到环境继续训练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已上线和在建的训练环境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400"/>
        <w:gridCol w:w="2638"/>
      </w:tblGrid>
      <w:tr>
        <w:trPr>
          <w:cantSplit/>
          <w:tblHeader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环境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已有结果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Xitadel · 交易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AI 在真实行情中交易，按盈亏评分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训练后交易表现 +12%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财务月结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让 AI 零差错完成月末结账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评分漏洞 6 → 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检验 AI 写的代码能否经受住后续版本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数学证明 · 逻辑推理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让 AI 证明答案，而不是猜答案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709 道防作弊谜题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AI 研究 · MLBench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AI 独立完成研究项目，从读数据到交结果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60 个研究任务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未来预测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对真实事件提前判断，揭晓后按结果打分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数据实时接入</w:t>
            </w:r>
          </w:p>
        </w:tc>
      </w:tr>
    </w:tbl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三、合作方式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需求沟通：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领域、数据形式、量级、交付周期。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样例或试点：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先给样例，或做小批量付费试点。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验收：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客户按自己的标准测评。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批量与长期合作：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数据按批次交付；环境打包交付，接入客户的训练或测试流程。</w:t>
      </w:r>
    </w:p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四、参考报价</w:t>
      </w:r>
    </w:p>
    <w:p>
      <w:pPr>
        <w:spacing w:after="120" w:before="0" w:line="300"/>
      </w:pPr>
      <w:r>
        <w:rPr>
          <w:rFonts w:ascii="Arial" w:cs="Arial" w:eastAsia="Microsoft YaHei" w:hAnsi="Arial"/>
          <w:color w:val="6E6C66"/>
          <w:sz w:val="17"/>
          <w:szCs w:val="17"/>
        </w:rPr>
        <w:t xml:space="preserve">以下为参考区间，按领域、难度、数量和交付周期浮动，以正式报价为准。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300"/>
        <w:gridCol w:w="1700"/>
        <w:gridCol w:w="1700"/>
        <w:gridCol w:w="2438"/>
      </w:tblGrid>
      <w:tr>
        <w:trPr>
          <w:cantSplit/>
          <w:tblHeader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产品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计价单位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海外（USD）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国内（RMB）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试点 / Demo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每项目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5,000–30,000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 万–10 万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通常 50–200 条，验收后转批量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专家 SFT / CoT / 参考答案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每条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30–200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200–1,000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金融、法律、医疗；按难度分档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复杂 Query 构造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每题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20–100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100–500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真实场景、多约束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RLHF 偏好 / Reward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每对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10–100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50–400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专家判断，附理由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Rubric 设计（含参考答案）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每题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150–800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800–4,000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上线前做对抗测试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Rubric 逐项评分与质检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每条回答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5–30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30–150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含抽检复核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LLM-as-a-Judge 校准数据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每条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20–80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100–400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专家逐项分数和理由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Agent 长程轨迹（专家实跑）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 Session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200–1,500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1,000–8,000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 次以上工具调用，完整 Session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 任务（含验证器）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每任务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300–2,000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2,000–12,000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非独家；独家另议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 环境授权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每环境每季度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50,000–300,000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 万–200 万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含持续更新；独家另议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私有评测集 / Benchmark 定制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每项目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30,000–150,000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 万–100 万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200–1,000 题，含 Rubric 和评分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持续训练服务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每季度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100,000–1,000,000+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另议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面向前沿实验室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color w:val="33322F"/>
          <w:sz w:val="20"/>
          <w:szCs w:val="20"/>
        </w:rPr>
        <w:t xml:space="preserve">独家交付另行报价；加急和特殊合规要求另议。</w:t>
      </w:r>
    </w:p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五、联系方式</w:t>
      </w:r>
    </w:p>
    <w:p>
      <w:pPr>
        <w:spacing w:after="120" w:before="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business@simreal.co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  ·  simreal.co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Microsoft YaHei" w:hAnsi="Arial"/>
        <w:color w:val="6E6C66"/>
        <w:sz w:val="15"/>
        <w:szCs w:val="15"/>
      </w:rPr>
      <w:t xml:space="preserve">SimReal · business@simreal.co · </w:t>
    </w:r>
    <w:r>
      <w:rPr>
        <w:rFonts w:ascii="Arial" w:cs="Arial" w:eastAsia="Microsoft YaHei" w:hAnsi="Arial"/>
        <w:color w:val="6E6C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C2410C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33322F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Microsoft YaHei" w:hAnsi="Arial"/>
      <w:b/>
      <w:bCs/>
      <w:color w:val="11111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Microsoft YaHei" w:hAnsi="Arial"/>
      <w:b/>
      <w:bCs/>
      <w:color w:val="11111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8272570d1a7dc57e6cb97b736146312974976f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SimReal 公司简介、产品清单与参考报价</dc:title>
  <dc:creator>SimReal</dc:creator>
  <cp:lastModifiedBy>Un-named</cp:lastModifiedBy>
  <cp:revision>1</cp:revision>
  <dcterms:created xsi:type="dcterms:W3CDTF">2026-09-29T00:41:50.997Z</dcterms:created>
  <dcterms:modified xsi:type="dcterms:W3CDTF">2026-09-29T00:41:51.001Z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