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80"/>
        <w:jc w:val="center"/>
      </w:pPr>
      <w:r>
        <w:rPr>
          <w:rFonts w:ascii="Calibri" w:hAnsi="Calibri" w:eastAsia="Microsoft YaHei"/>
          <w:b/>
          <w:color w:val="B58500"/>
          <w:sz w:val="22"/>
        </w:rPr>
        <w:t>系统使用指南</w:t>
      </w:r>
    </w:p>
    <w:p>
      <w:pPr>
        <w:spacing w:after="160"/>
        <w:jc w:val="center"/>
      </w:pPr>
      <w:r>
        <w:rPr>
          <w:rFonts w:ascii="Calibri" w:hAnsi="Calibri" w:eastAsia="Microsoft YaHei"/>
          <w:b/>
          <w:color w:val="173B63"/>
          <w:sz w:val="56"/>
        </w:rPr>
        <w:t>HSE数据分析平台</w:t>
      </w:r>
    </w:p>
    <w:p>
      <w:pPr>
        <w:spacing w:after="520"/>
        <w:jc w:val="center"/>
      </w:pPr>
      <w:r>
        <w:rPr>
          <w:rFonts w:ascii="Calibri" w:hAnsi="Calibri" w:eastAsia="Microsoft YaHei"/>
          <w:b w:val="0"/>
          <w:color w:val="0967B9"/>
          <w:sz w:val="36"/>
        </w:rPr>
        <w:t>功能说明及操作手册</w:t>
      </w:r>
    </w:p>
    <w:p>
      <w:pPr>
        <w:spacing w:after="1600"/>
        <w:jc w:val="center"/>
      </w:pPr>
      <w:r>
        <w:rPr>
          <w:rFonts w:ascii="Calibri" w:hAnsi="Calibri" w:eastAsia="Microsoft YaHei"/>
          <w:b w:val="0"/>
          <w:color w:val="61758A"/>
          <w:sz w:val="22"/>
        </w:rPr>
        <w:t>工程建设安全数据分析 · 预警刹车分析 · 综合风险预警</w:t>
      </w:r>
    </w:p>
    <w:p>
      <w:pPr>
        <w:jc w:val="center"/>
      </w:pPr>
      <w:r>
        <w:rPr>
          <w:rFonts w:ascii="Calibri" w:hAnsi="Calibri" w:eastAsia="Microsoft YaHei"/>
          <w:b w:val="0"/>
          <w:color w:val="61758A"/>
          <w:sz w:val="20"/>
        </w:rPr>
        <w:t>文档版本：V1.0</w:t>
        <w:br/>
        <w:t>适用规则配置：Schema v5</w:t>
        <w:br/>
        <w:t>发布日期：2026年7月17日</w:t>
      </w:r>
    </w:p>
    <w:p>
      <w:r>
        <w:br w:type="page"/>
      </w:r>
    </w:p>
    <w:p>
      <w:pPr>
        <w:pStyle w:val="Heading1"/>
        <w:keepNext/>
      </w:pPr>
      <w:r>
        <w:t>文档说明</w:t>
      </w:r>
    </w:p>
    <w:p>
      <w:r>
        <w:rPr>
          <w:rFonts w:ascii="Calibri" w:hAnsi="Calibri" w:eastAsia="Microsoft YaHei"/>
          <w:b w:val="0"/>
          <w:color w:val="202A35"/>
          <w:sz w:val="21"/>
        </w:rPr>
        <w:t>本手册面向HSE数据分析平台的业务操作人员、数据维护人员和系统管理员，说明系统功能、数据准备要求、日常操作方法、综合预警规则以及常见问题处理方式。</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3FC"/>
            <w:vAlign w:val="center"/>
            <w:tcMar>
              <w:top w:w="80" w:type="dxa"/>
              <w:start w:w="120" w:type="dxa"/>
              <w:bottom w:w="80" w:type="dxa"/>
              <w:end w:w="120" w:type="dxa"/>
            </w:tcMar>
          </w:tcPr>
          <w:p>
            <w:pPr>
              <w:spacing w:after="40"/>
            </w:pPr>
            <w:r>
              <w:rPr>
                <w:rFonts w:ascii="Calibri" w:hAnsi="Calibri" w:eastAsia="Microsoft YaHei"/>
                <w:b/>
                <w:color w:val="173B63"/>
                <w:sz w:val="20"/>
              </w:rPr>
              <w:t>推荐阅读顺序</w:t>
            </w:r>
          </w:p>
          <w:p>
            <w:pPr>
              <w:spacing w:after="0" w:line="276" w:lineRule="auto"/>
            </w:pPr>
            <w:r>
              <w:rPr>
                <w:rFonts w:ascii="Calibri" w:hAnsi="Calibri" w:eastAsia="Microsoft YaHei"/>
                <w:b w:val="0"/>
                <w:color w:val="202A35"/>
                <w:sz w:val="19"/>
              </w:rPr>
              <w:t>首次使用请先阅读“快速开始”和“数据准备”；日常操作可直接查阅对应业务模块；预警规则维护人员应重点阅读“综合预警规则说明”。</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F1FA"/>
            <w:vAlign w:val="center"/>
            <w:tcMar>
              <w:top w:w="80" w:type="dxa"/>
              <w:start w:w="120" w:type="dxa"/>
              <w:bottom w:w="80" w:type="dxa"/>
              <w:end w:w="120" w:type="dxa"/>
            </w:tcMar>
          </w:tcPr>
          <w:p>
            <w:pPr>
              <w:jc w:val="center"/>
            </w:pPr>
            <w:r>
              <w:rPr>
                <w:rFonts w:ascii="Calibri" w:hAnsi="Calibri" w:eastAsia="Microsoft YaHei"/>
                <w:b/>
                <w:color w:val="173B63"/>
                <w:sz w:val="19"/>
              </w:rPr>
              <w:t>项目</w:t>
            </w:r>
          </w:p>
        </w:tc>
        <w:tc>
          <w:tcPr>
            <w:tcW w:type="dxa" w:w="6660"/>
            <w:shd w:fill="E8F1FA"/>
            <w:vAlign w:val="center"/>
            <w:tcMar>
              <w:top w:w="80" w:type="dxa"/>
              <w:start w:w="120" w:type="dxa"/>
              <w:bottom w:w="80" w:type="dxa"/>
              <w:end w:w="120" w:type="dxa"/>
            </w:tcMar>
          </w:tcPr>
          <w:p>
            <w:pPr>
              <w:jc w:val="center"/>
            </w:pPr>
            <w:r>
              <w:rPr>
                <w:rFonts w:ascii="Calibri" w:hAnsi="Calibri" w:eastAsia="Microsoft YaHei"/>
                <w:b/>
                <w:color w:val="173B63"/>
                <w:sz w:val="19"/>
              </w:rPr>
              <w:t>内容</w:t>
            </w:r>
          </w:p>
        </w:tc>
      </w:tr>
      <w:tr>
        <w:tc>
          <w:tcPr>
            <w:tcW w:type="dxa" w:w="27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系统名称</w:t>
            </w:r>
          </w:p>
        </w:tc>
        <w:tc>
          <w:tcPr>
            <w:tcW w:type="dxa" w:w="66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HSE数据分析平台</w:t>
            </w:r>
          </w:p>
        </w:tc>
      </w:tr>
      <w:tr>
        <w:tc>
          <w:tcPr>
            <w:tcW w:type="dxa" w:w="27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运行方式</w:t>
            </w:r>
          </w:p>
        </w:tc>
        <w:tc>
          <w:tcPr>
            <w:tcW w:type="dxa" w:w="66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Windows桌面应用；双击HSE数据分析平台.exe启动</w:t>
            </w:r>
          </w:p>
        </w:tc>
      </w:tr>
      <w:tr>
        <w:tc>
          <w:tcPr>
            <w:tcW w:type="dxa" w:w="27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业务模块</w:t>
            </w:r>
          </w:p>
        </w:tc>
        <w:tc>
          <w:tcPr>
            <w:tcW w:type="dxa" w:w="66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隐患分析、预警刹车分析、综合分析</w:t>
            </w:r>
          </w:p>
        </w:tc>
      </w:tr>
      <w:tr>
        <w:tc>
          <w:tcPr>
            <w:tcW w:type="dxa" w:w="27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统计周期</w:t>
            </w:r>
          </w:p>
        </w:tc>
        <w:tc>
          <w:tcPr>
            <w:tcW w:type="dxa" w:w="66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自然周、自然月、自然季度</w:t>
            </w:r>
          </w:p>
        </w:tc>
      </w:tr>
      <w:tr>
        <w:tc>
          <w:tcPr>
            <w:tcW w:type="dxa" w:w="27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配置存储</w:t>
            </w:r>
          </w:p>
        </w:tc>
        <w:tc>
          <w:tcPr>
            <w:tcW w:type="dxa" w:w="66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%LOCALAPPDATA%\HSE数据分析平台\config\risk_rules.json</w:t>
            </w:r>
          </w:p>
        </w:tc>
      </w:tr>
      <w:tr>
        <w:tc>
          <w:tcPr>
            <w:tcW w:type="dxa" w:w="27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错误日志</w:t>
            </w:r>
          </w:p>
        </w:tc>
        <w:tc>
          <w:tcPr>
            <w:tcW w:type="dxa" w:w="66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logs\hse_analyzer.log（程序工作目录）</w:t>
            </w:r>
          </w:p>
        </w:tc>
      </w:tr>
    </w:tbl>
    <w:p>
      <w:pPr>
        <w:spacing w:after="0"/>
      </w:pPr>
    </w:p>
    <w:p>
      <w:pPr>
        <w:pStyle w:val="Heading1"/>
        <w:keepNext/>
      </w:pPr>
      <w:r>
        <w:t>目录</w:t>
      </w:r>
    </w:p>
    <w:p>
      <w:pPr>
        <w:spacing w:after="60"/>
        <w:ind w:left="288"/>
      </w:pPr>
      <w:r>
        <w:rPr>
          <w:rFonts w:ascii="Calibri" w:hAnsi="Calibri" w:eastAsia="Microsoft YaHei"/>
          <w:b w:val="0"/>
          <w:color w:val="173B63"/>
          <w:sz w:val="21"/>
        </w:rPr>
        <w:t>1  系统概述</w:t>
      </w:r>
    </w:p>
    <w:p>
      <w:pPr>
        <w:spacing w:after="60"/>
        <w:ind w:left="288"/>
      </w:pPr>
      <w:r>
        <w:rPr>
          <w:rFonts w:ascii="Calibri" w:hAnsi="Calibri" w:eastAsia="Microsoft YaHei"/>
          <w:b w:val="0"/>
          <w:color w:val="173B63"/>
          <w:sz w:val="21"/>
        </w:rPr>
        <w:t>2  快速开始</w:t>
      </w:r>
    </w:p>
    <w:p>
      <w:pPr>
        <w:spacing w:after="60"/>
        <w:ind w:left="288"/>
      </w:pPr>
      <w:r>
        <w:rPr>
          <w:rFonts w:ascii="Calibri" w:hAnsi="Calibri" w:eastAsia="Microsoft YaHei"/>
          <w:b w:val="0"/>
          <w:color w:val="173B63"/>
          <w:sz w:val="21"/>
        </w:rPr>
        <w:t>3  数据准备与加载</w:t>
      </w:r>
    </w:p>
    <w:p>
      <w:pPr>
        <w:spacing w:after="60"/>
        <w:ind w:left="288"/>
      </w:pPr>
      <w:r>
        <w:rPr>
          <w:rFonts w:ascii="Calibri" w:hAnsi="Calibri" w:eastAsia="Microsoft YaHei"/>
          <w:b w:val="0"/>
          <w:color w:val="173B63"/>
          <w:sz w:val="21"/>
        </w:rPr>
        <w:t>4  隐患分析模块</w:t>
      </w:r>
    </w:p>
    <w:p>
      <w:pPr>
        <w:spacing w:after="60"/>
        <w:ind w:left="288"/>
      </w:pPr>
      <w:r>
        <w:rPr>
          <w:rFonts w:ascii="Calibri" w:hAnsi="Calibri" w:eastAsia="Microsoft YaHei"/>
          <w:b w:val="0"/>
          <w:color w:val="173B63"/>
          <w:sz w:val="21"/>
        </w:rPr>
        <w:t>5  预警刹车分析模块</w:t>
      </w:r>
    </w:p>
    <w:p>
      <w:pPr>
        <w:spacing w:after="60"/>
        <w:ind w:left="288"/>
      </w:pPr>
      <w:r>
        <w:rPr>
          <w:rFonts w:ascii="Calibri" w:hAnsi="Calibri" w:eastAsia="Microsoft YaHei"/>
          <w:b w:val="0"/>
          <w:color w:val="173B63"/>
          <w:sz w:val="21"/>
        </w:rPr>
        <w:t>6  综合分析模块</w:t>
      </w:r>
    </w:p>
    <w:p>
      <w:pPr>
        <w:spacing w:after="60"/>
        <w:ind w:left="288"/>
      </w:pPr>
      <w:r>
        <w:rPr>
          <w:rFonts w:ascii="Calibri" w:hAnsi="Calibri" w:eastAsia="Microsoft YaHei"/>
          <w:b w:val="0"/>
          <w:color w:val="173B63"/>
          <w:sz w:val="21"/>
        </w:rPr>
        <w:t>7  综合预警规则说明</w:t>
      </w:r>
    </w:p>
    <w:p>
      <w:pPr>
        <w:spacing w:after="60"/>
        <w:ind w:left="288"/>
      </w:pPr>
      <w:r>
        <w:rPr>
          <w:rFonts w:ascii="Calibri" w:hAnsi="Calibri" w:eastAsia="Microsoft YaHei"/>
          <w:b w:val="0"/>
          <w:color w:val="173B63"/>
          <w:sz w:val="21"/>
        </w:rPr>
        <w:t>8  预警详情与图表操作</w:t>
      </w:r>
    </w:p>
    <w:p>
      <w:pPr>
        <w:spacing w:after="60"/>
        <w:ind w:left="288"/>
      </w:pPr>
      <w:r>
        <w:rPr>
          <w:rFonts w:ascii="Calibri" w:hAnsi="Calibri" w:eastAsia="Microsoft YaHei"/>
          <w:b w:val="0"/>
          <w:color w:val="173B63"/>
          <w:sz w:val="21"/>
        </w:rPr>
        <w:t>9  配置、日志与数据安全</w:t>
      </w:r>
    </w:p>
    <w:p>
      <w:pPr>
        <w:spacing w:after="60"/>
        <w:ind w:left="288"/>
      </w:pPr>
      <w:r>
        <w:rPr>
          <w:rFonts w:ascii="Calibri" w:hAnsi="Calibri" w:eastAsia="Microsoft YaHei"/>
          <w:b w:val="0"/>
          <w:color w:val="173B63"/>
          <w:sz w:val="21"/>
        </w:rPr>
        <w:t>10 常见问题处理</w:t>
      </w:r>
    </w:p>
    <w:p>
      <w:pPr>
        <w:spacing w:after="60"/>
        <w:ind w:left="288"/>
      </w:pPr>
      <w:r>
        <w:rPr>
          <w:rFonts w:ascii="Calibri" w:hAnsi="Calibri" w:eastAsia="Microsoft YaHei"/>
          <w:b w:val="0"/>
          <w:color w:val="173B63"/>
          <w:sz w:val="21"/>
        </w:rPr>
        <w:t>附录A  日常操作检查表</w:t>
      </w:r>
    </w:p>
    <w:p>
      <w:r>
        <w:br w:type="page"/>
      </w:r>
    </w:p>
    <w:p>
      <w:pPr>
        <w:pStyle w:val="Heading1"/>
        <w:keepNext/>
      </w:pPr>
      <w:r>
        <w:t>1  系统概述</w:t>
      </w:r>
    </w:p>
    <w:p>
      <w:pPr>
        <w:pStyle w:val="Heading2"/>
        <w:keepNext/>
      </w:pPr>
      <w:r>
        <w:t>1.1 建设目标</w:t>
      </w:r>
    </w:p>
    <w:p>
      <w:r>
        <w:rPr>
          <w:rFonts w:ascii="Calibri" w:hAnsi="Calibri" w:eastAsia="Microsoft YaHei"/>
          <w:b w:val="0"/>
          <w:color w:val="202A35"/>
          <w:sz w:val="21"/>
        </w:rPr>
        <w:t>平台用于汇总隐患与预警刹车Excel数据，通过统一清洗、周期聚合、图表展示和可解释规则，辅助识别单位、区域及专项隐患的变化趋势。系统不替代现场判断，也不输出事故概率。</w:t>
      </w:r>
    </w:p>
    <w:p>
      <w:pPr>
        <w:pStyle w:val="Heading2"/>
        <w:keepNext/>
      </w:pPr>
      <w:r>
        <w:t>1.2 功能架构</w:t>
      </w:r>
    </w:p>
    <w:tbl>
      <w:tblPr>
        <w:tblStyle w:val="TableGrid"/>
        <w:tblW w:type="dxa" w:w="9360"/>
        <w:jc w:val="left"/>
        <w:tblLayout w:type="fixed"/>
        <w:tblLook w:firstColumn="1" w:firstRow="1" w:lastColumn="0" w:lastRow="0" w:noHBand="0" w:noVBand="1" w:val="04A0"/>
        <w:tblInd w:w="120" w:type="dxa"/>
      </w:tblPr>
      <w:tblGrid>
        <w:gridCol w:w="1600"/>
        <w:gridCol w:w="3800"/>
        <w:gridCol w:w="3960"/>
      </w:tblGrid>
      <w:tr>
        <w:trPr>
          <w:tblHeader w:val="true"/>
        </w:trPr>
        <w:tc>
          <w:tcPr>
            <w:tcW w:type="dxa" w:w="1600"/>
            <w:shd w:fill="E8F1FA"/>
            <w:vAlign w:val="center"/>
            <w:tcMar>
              <w:top w:w="80" w:type="dxa"/>
              <w:start w:w="120" w:type="dxa"/>
              <w:bottom w:w="80" w:type="dxa"/>
              <w:end w:w="120" w:type="dxa"/>
            </w:tcMar>
          </w:tcPr>
          <w:p>
            <w:pPr>
              <w:jc w:val="center"/>
            </w:pPr>
            <w:r>
              <w:rPr>
                <w:rFonts w:ascii="Calibri" w:hAnsi="Calibri" w:eastAsia="Microsoft YaHei"/>
                <w:b/>
                <w:color w:val="173B63"/>
                <w:sz w:val="19"/>
              </w:rPr>
              <w:t>模块</w:t>
            </w:r>
          </w:p>
        </w:tc>
        <w:tc>
          <w:tcPr>
            <w:tcW w:type="dxa" w:w="3800"/>
            <w:shd w:fill="E8F1FA"/>
            <w:vAlign w:val="center"/>
            <w:tcMar>
              <w:top w:w="80" w:type="dxa"/>
              <w:start w:w="120" w:type="dxa"/>
              <w:bottom w:w="80" w:type="dxa"/>
              <w:end w:w="120" w:type="dxa"/>
            </w:tcMar>
          </w:tcPr>
          <w:p>
            <w:pPr>
              <w:jc w:val="center"/>
            </w:pPr>
            <w:r>
              <w:rPr>
                <w:rFonts w:ascii="Calibri" w:hAnsi="Calibri" w:eastAsia="Microsoft YaHei"/>
                <w:b/>
                <w:color w:val="173B63"/>
                <w:sz w:val="19"/>
              </w:rPr>
              <w:t>主要用途</w:t>
            </w:r>
          </w:p>
        </w:tc>
        <w:tc>
          <w:tcPr>
            <w:tcW w:type="dxa" w:w="3960"/>
            <w:shd w:fill="E8F1FA"/>
            <w:vAlign w:val="center"/>
            <w:tcMar>
              <w:top w:w="80" w:type="dxa"/>
              <w:start w:w="120" w:type="dxa"/>
              <w:bottom w:w="80" w:type="dxa"/>
              <w:end w:w="120" w:type="dxa"/>
            </w:tcMar>
          </w:tcPr>
          <w:p>
            <w:pPr>
              <w:jc w:val="center"/>
            </w:pPr>
            <w:r>
              <w:rPr>
                <w:rFonts w:ascii="Calibri" w:hAnsi="Calibri" w:eastAsia="Microsoft YaHei"/>
                <w:b/>
                <w:color w:val="173B63"/>
                <w:sz w:val="19"/>
              </w:rPr>
              <w:t>核心输出</w:t>
            </w:r>
          </w:p>
        </w:tc>
      </w:tr>
      <w:tr>
        <w:tc>
          <w:tcPr>
            <w:tcW w:type="dxa" w:w="16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隐患分析</w:t>
            </w:r>
          </w:p>
        </w:tc>
        <w:tc>
          <w:tcPr>
            <w:tcW w:type="dxa" w:w="380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分析隐患等级、单位、区域、分类、班组和验证情况</w:t>
            </w:r>
          </w:p>
        </w:tc>
        <w:tc>
          <w:tcPr>
            <w:tcW w:type="dxa" w:w="39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排行、画像、周期趋势、专项趋势</w:t>
            </w:r>
          </w:p>
        </w:tc>
      </w:tr>
      <w:tr>
        <w:tc>
          <w:tcPr>
            <w:tcW w:type="dxa" w:w="16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预警刹车分析</w:t>
            </w:r>
          </w:p>
        </w:tc>
        <w:tc>
          <w:tcPr>
            <w:tcW w:type="dxa" w:w="380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分析五类管理措施及责任单位、问题类别</w:t>
            </w:r>
          </w:p>
        </w:tc>
        <w:tc>
          <w:tcPr>
            <w:tcW w:type="dxa" w:w="39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类型分布、Top排行、单位和专项趋势</w:t>
            </w:r>
          </w:p>
        </w:tc>
      </w:tr>
      <w:tr>
        <w:tc>
          <w:tcPr>
            <w:tcW w:type="dxa" w:w="16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综合分析</w:t>
            </w:r>
          </w:p>
        </w:tc>
        <w:tc>
          <w:tcPr>
            <w:tcW w:type="dxa" w:w="380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合并两类已加载数据，展示总体态势并执行规则预警</w:t>
            </w:r>
          </w:p>
        </w:tc>
        <w:tc>
          <w:tcPr>
            <w:tcW w:type="dxa" w:w="39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总体大屏、单位/区域/专项预警、证据详情</w:t>
            </w:r>
          </w:p>
        </w:tc>
      </w:tr>
    </w:tbl>
    <w:p>
      <w:pPr>
        <w:spacing w:after="0"/>
      </w:pPr>
    </w:p>
    <w:p>
      <w:pPr>
        <w:pStyle w:val="Heading2"/>
        <w:keepNext/>
      </w:pPr>
      <w:r>
        <w:t>1.3 通用业务口径</w:t>
      </w:r>
    </w:p>
    <w:p>
      <w:pPr>
        <w:pStyle w:val="ListBullet"/>
        <w:spacing w:after="80" w:line="300" w:lineRule="auto"/>
        <w:ind w:left="540" w:hanging="271"/>
      </w:pPr>
      <w:r>
        <w:rPr>
          <w:rFonts w:ascii="Calibri" w:hAnsi="Calibri" w:eastAsia="Microsoft YaHei"/>
          <w:b w:val="0"/>
          <w:color w:val="202A35"/>
          <w:sz w:val="21"/>
        </w:rPr>
        <w:t>自然周按周一至周日计算；自然月和自然季度按日历边界计算。</w:t>
      </w:r>
    </w:p>
    <w:p>
      <w:pPr>
        <w:pStyle w:val="ListBullet"/>
        <w:spacing w:after="80" w:line="300" w:lineRule="auto"/>
        <w:ind w:left="540" w:hanging="271"/>
      </w:pPr>
      <w:r>
        <w:rPr>
          <w:rFonts w:ascii="Calibri" w:hAnsi="Calibri" w:eastAsia="Microsoft YaHei"/>
          <w:b w:val="0"/>
          <w:color w:val="202A35"/>
          <w:sz w:val="21"/>
        </w:rPr>
        <w:t>总体图表保留所选时间段内不完整的首尾周期；预警规则只使用完整周期。</w:t>
      </w:r>
    </w:p>
    <w:p>
      <w:pPr>
        <w:pStyle w:val="ListBullet"/>
        <w:spacing w:after="80" w:line="300" w:lineRule="auto"/>
        <w:ind w:left="540" w:hanging="271"/>
      </w:pPr>
      <w:r>
        <w:rPr>
          <w:rFonts w:ascii="Calibri" w:hAnsi="Calibri" w:eastAsia="Microsoft YaHei"/>
          <w:b w:val="0"/>
          <w:color w:val="202A35"/>
          <w:sz w:val="21"/>
        </w:rPr>
        <w:t>隐患数据仅保留状态为“完成”或“进行中”的记录，并按现有承包商流程规则筛选。</w:t>
      </w:r>
    </w:p>
    <w:p>
      <w:pPr>
        <w:pStyle w:val="ListBullet"/>
        <w:spacing w:after="80" w:line="300" w:lineRule="auto"/>
        <w:ind w:left="540" w:hanging="271"/>
      </w:pPr>
      <w:r>
        <w:rPr>
          <w:rFonts w:ascii="Calibri" w:hAnsi="Calibri" w:eastAsia="Microsoft YaHei"/>
          <w:b w:val="0"/>
          <w:color w:val="202A35"/>
          <w:sz w:val="21"/>
        </w:rPr>
        <w:t>预警刹车按类型和编号去重；草稿、已作废记录按业务规则排除。</w:t>
      </w:r>
    </w:p>
    <w:p>
      <w:pPr>
        <w:pStyle w:val="ListBullet"/>
        <w:spacing w:after="80" w:line="300" w:lineRule="auto"/>
        <w:ind w:left="540" w:hanging="271"/>
      </w:pPr>
      <w:r>
        <w:rPr>
          <w:rFonts w:ascii="Calibri" w:hAnsi="Calibri" w:eastAsia="Microsoft YaHei"/>
          <w:b w:val="0"/>
          <w:color w:val="202A35"/>
          <w:sz w:val="21"/>
        </w:rPr>
        <w:t>单位和类别匹配采用清洗后的精确匹配，不进行模糊匹配或自动同义词归并。</w:t>
      </w:r>
    </w:p>
    <w:p>
      <w:pPr>
        <w:pStyle w:val="Heading1"/>
        <w:keepNext/>
      </w:pPr>
      <w:r>
        <w:t>2  快速开始</w:t>
      </w:r>
    </w:p>
    <w:p>
      <w:pPr>
        <w:pStyle w:val="Heading2"/>
        <w:keepNext/>
      </w:pPr>
      <w:r>
        <w:t>2.1 启动系统</w:t>
      </w:r>
    </w:p>
    <w:p>
      <w:pPr>
        <w:pStyle w:val="ListNumber"/>
        <w:spacing w:after="100" w:line="288" w:lineRule="auto"/>
        <w:ind w:left="720" w:hanging="360"/>
      </w:pPr>
      <w:r>
        <w:rPr>
          <w:rFonts w:ascii="Calibri" w:hAnsi="Calibri" w:eastAsia="Microsoft YaHei"/>
          <w:b w:val="0"/>
          <w:color w:val="202A35"/>
          <w:sz w:val="21"/>
        </w:rPr>
        <w:t>将HSE数据分析平台.exe放在本地可读写位置。</w:t>
      </w:r>
    </w:p>
    <w:p>
      <w:pPr>
        <w:pStyle w:val="ListNumber"/>
        <w:spacing w:after="100" w:line="288" w:lineRule="auto"/>
        <w:ind w:left="720" w:hanging="360"/>
      </w:pPr>
      <w:r>
        <w:rPr>
          <w:rFonts w:ascii="Calibri" w:hAnsi="Calibri" w:eastAsia="Microsoft YaHei"/>
          <w:b w:val="0"/>
          <w:color w:val="202A35"/>
          <w:sz w:val="21"/>
        </w:rPr>
        <w:t>双击exe启动。单文件版本首次启动需要解压运行环境，等待时间通常比后续启动更长。</w:t>
      </w:r>
    </w:p>
    <w:p>
      <w:pPr>
        <w:pStyle w:val="ListNumber"/>
        <w:spacing w:after="100" w:line="288" w:lineRule="auto"/>
        <w:ind w:left="720" w:hanging="360"/>
      </w:pPr>
      <w:r>
        <w:rPr>
          <w:rFonts w:ascii="Calibri" w:hAnsi="Calibri" w:eastAsia="Microsoft YaHei"/>
          <w:b w:val="0"/>
          <w:color w:val="202A35"/>
          <w:sz w:val="21"/>
        </w:rPr>
        <w:t>确认顶部出现“隐患分析、预警刹车分析、综合分析”三个导航入口。</w:t>
      </w:r>
    </w:p>
    <w:p>
      <w:pPr>
        <w:pStyle w:val="ListNumber"/>
        <w:spacing w:after="100" w:line="288" w:lineRule="auto"/>
        <w:ind w:left="720" w:hanging="360"/>
      </w:pPr>
      <w:r>
        <w:rPr>
          <w:rFonts w:ascii="Calibri" w:hAnsi="Calibri" w:eastAsia="Microsoft YaHei"/>
          <w:b w:val="0"/>
          <w:color w:val="202A35"/>
          <w:sz w:val="21"/>
        </w:rPr>
        <w:t>查看底部状态栏与运行日志，确认系统已正常进入隐患分析页面。</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8E6"/>
            <w:vAlign w:val="center"/>
            <w:tcMar>
              <w:top w:w="80" w:type="dxa"/>
              <w:start w:w="120" w:type="dxa"/>
              <w:bottom w:w="80" w:type="dxa"/>
              <w:end w:w="120" w:type="dxa"/>
            </w:tcMar>
          </w:tcPr>
          <w:p>
            <w:pPr>
              <w:spacing w:after="40"/>
            </w:pPr>
            <w:r>
              <w:rPr>
                <w:rFonts w:ascii="Calibri" w:hAnsi="Calibri" w:eastAsia="Microsoft YaHei"/>
                <w:b/>
                <w:color w:val="B58500"/>
                <w:sz w:val="20"/>
              </w:rPr>
              <w:t>重要</w:t>
            </w:r>
          </w:p>
          <w:p>
            <w:pPr>
              <w:spacing w:after="0" w:line="276" w:lineRule="auto"/>
            </w:pPr>
            <w:r>
              <w:rPr>
                <w:rFonts w:ascii="Calibri" w:hAnsi="Calibri" w:eastAsia="Microsoft YaHei"/>
                <w:b w:val="0"/>
                <w:color w:val="202A35"/>
                <w:sz w:val="19"/>
              </w:rPr>
              <w:t>不要在程序正在加载文件或生成图表时强制关闭。界面显示正在处理时，请等待任务结束或按页面提示取消。</w:t>
            </w:r>
          </w:p>
        </w:tc>
      </w:tr>
    </w:tbl>
    <w:p>
      <w:pPr>
        <w:spacing w:after="0"/>
      </w:pPr>
    </w:p>
    <w:p>
      <w:pPr>
        <w:pStyle w:val="Heading2"/>
        <w:keepNext/>
      </w:pPr>
      <w:r>
        <w:t>2.2 推荐操作流程</w:t>
      </w:r>
    </w:p>
    <w:p>
      <w:pPr>
        <w:pStyle w:val="ListNumber"/>
        <w:spacing w:after="100" w:line="288" w:lineRule="auto"/>
        <w:ind w:left="720" w:hanging="360"/>
      </w:pPr>
      <w:r>
        <w:rPr>
          <w:rFonts w:ascii="Calibri" w:hAnsi="Calibri" w:eastAsia="Microsoft YaHei"/>
          <w:b w:val="0"/>
          <w:color w:val="202A35"/>
          <w:sz w:val="21"/>
        </w:rPr>
        <w:t>进入隐患分析，添加隐患Excel文件并点击“加载数据”。</w:t>
      </w:r>
    </w:p>
    <w:p>
      <w:pPr>
        <w:pStyle w:val="ListNumber"/>
        <w:spacing w:after="100" w:line="288" w:lineRule="auto"/>
        <w:ind w:left="720" w:hanging="360"/>
      </w:pPr>
      <w:r>
        <w:rPr>
          <w:rFonts w:ascii="Calibri" w:hAnsi="Calibri" w:eastAsia="Microsoft YaHei"/>
          <w:b w:val="0"/>
          <w:color w:val="202A35"/>
          <w:sz w:val="21"/>
        </w:rPr>
        <w:t>如需预警刹车分析，进入对应模块添加文件并加载。</w:t>
      </w:r>
    </w:p>
    <w:p>
      <w:pPr>
        <w:pStyle w:val="ListNumber"/>
        <w:spacing w:after="100" w:line="288" w:lineRule="auto"/>
        <w:ind w:left="720" w:hanging="360"/>
      </w:pPr>
      <w:r>
        <w:rPr>
          <w:rFonts w:ascii="Calibri" w:hAnsi="Calibri" w:eastAsia="Microsoft YaHei"/>
          <w:b w:val="0"/>
          <w:color w:val="202A35"/>
          <w:sz w:val="21"/>
        </w:rPr>
        <w:t>分别选择周、月或季度，使用分析卡片查看画像和趋势。</w:t>
      </w:r>
    </w:p>
    <w:p>
      <w:pPr>
        <w:pStyle w:val="ListNumber"/>
        <w:spacing w:after="100" w:line="288" w:lineRule="auto"/>
        <w:ind w:left="720" w:hanging="360"/>
      </w:pPr>
      <w:r>
        <w:rPr>
          <w:rFonts w:ascii="Calibri" w:hAnsi="Calibri" w:eastAsia="Microsoft YaHei"/>
          <w:b w:val="0"/>
          <w:color w:val="202A35"/>
          <w:sz w:val="21"/>
        </w:rPr>
        <w:t>进入综合分析，先设置开始日期和结束日期，再选择统计周期。</w:t>
      </w:r>
    </w:p>
    <w:p>
      <w:pPr>
        <w:pStyle w:val="ListNumber"/>
        <w:spacing w:after="100" w:line="288" w:lineRule="auto"/>
        <w:ind w:left="720" w:hanging="360"/>
      </w:pPr>
      <w:r>
        <w:rPr>
          <w:rFonts w:ascii="Calibri" w:hAnsi="Calibri" w:eastAsia="Microsoft YaHei"/>
          <w:b w:val="0"/>
          <w:color w:val="202A35"/>
          <w:sz w:val="21"/>
        </w:rPr>
        <w:t>查看总体大屏；切换到预警信息，查看单位、区域和专项当前预警。</w:t>
      </w:r>
    </w:p>
    <w:p>
      <w:pPr>
        <w:pStyle w:val="ListNumber"/>
        <w:spacing w:after="100" w:line="288" w:lineRule="auto"/>
        <w:ind w:left="720" w:hanging="360"/>
      </w:pPr>
      <w:r>
        <w:rPr>
          <w:rFonts w:ascii="Calibri" w:hAnsi="Calibri" w:eastAsia="Microsoft YaHei"/>
          <w:b w:val="0"/>
          <w:color w:val="202A35"/>
          <w:sz w:val="21"/>
        </w:rPr>
        <w:t>需要调整判断门槛时，打开“预警规则设置”，保存后系统自动重新计算。</w:t>
      </w:r>
    </w:p>
    <w:p>
      <w:pPr>
        <w:pStyle w:val="Heading1"/>
        <w:keepNext/>
      </w:pPr>
      <w:r>
        <w:t>3  数据准备与加载</w:t>
      </w:r>
    </w:p>
    <w:p>
      <w:pPr>
        <w:pStyle w:val="Heading2"/>
        <w:keepNext/>
      </w:pPr>
      <w:r>
        <w:t>3.1 隐患数据字段</w:t>
      </w:r>
    </w:p>
    <w:tbl>
      <w:tblPr>
        <w:tblStyle w:val="TableGrid"/>
        <w:tblW w:type="dxa" w:w="9360"/>
        <w:jc w:val="left"/>
        <w:tblLayout w:type="fixed"/>
        <w:tblLook w:firstColumn="1" w:firstRow="1" w:lastColumn="0" w:lastRow="0" w:noHBand="0" w:noVBand="1" w:val="04A0"/>
        <w:tblInd w:w="120" w:type="dxa"/>
      </w:tblPr>
      <w:tblGrid>
        <w:gridCol w:w="1900"/>
        <w:gridCol w:w="2100"/>
        <w:gridCol w:w="5360"/>
      </w:tblGrid>
      <w:tr>
        <w:trPr>
          <w:tblHeader w:val="true"/>
        </w:trPr>
        <w:tc>
          <w:tcPr>
            <w:tcW w:type="dxa" w:w="1900"/>
            <w:shd w:fill="E8F1FA"/>
            <w:vAlign w:val="center"/>
            <w:tcMar>
              <w:top w:w="80" w:type="dxa"/>
              <w:start w:w="120" w:type="dxa"/>
              <w:bottom w:w="80" w:type="dxa"/>
              <w:end w:w="120" w:type="dxa"/>
            </w:tcMar>
          </w:tcPr>
          <w:p>
            <w:pPr>
              <w:jc w:val="center"/>
            </w:pPr>
            <w:r>
              <w:rPr>
                <w:rFonts w:ascii="Calibri" w:hAnsi="Calibri" w:eastAsia="Microsoft YaHei"/>
                <w:b/>
                <w:color w:val="173B63"/>
                <w:sz w:val="19"/>
              </w:rPr>
              <w:t>字段</w:t>
            </w:r>
          </w:p>
        </w:tc>
        <w:tc>
          <w:tcPr>
            <w:tcW w:type="dxa" w:w="2100"/>
            <w:shd w:fill="E8F1FA"/>
            <w:vAlign w:val="center"/>
            <w:tcMar>
              <w:top w:w="80" w:type="dxa"/>
              <w:start w:w="120" w:type="dxa"/>
              <w:bottom w:w="80" w:type="dxa"/>
              <w:end w:w="120" w:type="dxa"/>
            </w:tcMar>
          </w:tcPr>
          <w:p>
            <w:pPr>
              <w:jc w:val="center"/>
            </w:pPr>
            <w:r>
              <w:rPr>
                <w:rFonts w:ascii="Calibri" w:hAnsi="Calibri" w:eastAsia="Microsoft YaHei"/>
                <w:b/>
                <w:color w:val="173B63"/>
                <w:sz w:val="19"/>
              </w:rPr>
              <w:t>用途</w:t>
            </w:r>
          </w:p>
        </w:tc>
        <w:tc>
          <w:tcPr>
            <w:tcW w:type="dxa" w:w="5360"/>
            <w:shd w:fill="E8F1FA"/>
            <w:vAlign w:val="center"/>
            <w:tcMar>
              <w:top w:w="80" w:type="dxa"/>
              <w:start w:w="120" w:type="dxa"/>
              <w:bottom w:w="80" w:type="dxa"/>
              <w:end w:w="120" w:type="dxa"/>
            </w:tcMar>
          </w:tcPr>
          <w:p>
            <w:pPr>
              <w:jc w:val="center"/>
            </w:pPr>
            <w:r>
              <w:rPr>
                <w:rFonts w:ascii="Calibri" w:hAnsi="Calibri" w:eastAsia="Microsoft YaHei"/>
                <w:b/>
                <w:color w:val="173B63"/>
                <w:sz w:val="19"/>
              </w:rPr>
              <w:t>说明</w:t>
            </w:r>
          </w:p>
        </w:tc>
      </w:tr>
      <w:tr>
        <w:tc>
          <w:tcPr>
            <w:tcW w:type="dxa" w:w="19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检查日期</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必需</w:t>
            </w:r>
          </w:p>
        </w:tc>
        <w:tc>
          <w:tcPr>
            <w:tcW w:type="dxa" w:w="53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用于日期过滤和周/月/季度聚合；无效日期会被排除</w:t>
            </w:r>
          </w:p>
        </w:tc>
      </w:tr>
      <w:tr>
        <w:tc>
          <w:tcPr>
            <w:tcW w:type="dxa" w:w="19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状态</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公共筛选</w:t>
            </w:r>
          </w:p>
        </w:tc>
        <w:tc>
          <w:tcPr>
            <w:tcW w:type="dxa" w:w="53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仅统计完成、进行中</w:t>
            </w:r>
          </w:p>
        </w:tc>
      </w:tr>
      <w:tr>
        <w:tc>
          <w:tcPr>
            <w:tcW w:type="dxa" w:w="19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流程类型</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业务筛选</w:t>
            </w:r>
          </w:p>
        </w:tc>
        <w:tc>
          <w:tcPr>
            <w:tcW w:type="dxa" w:w="53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现有口径使用“工程公司录入承包商”</w:t>
            </w:r>
          </w:p>
        </w:tc>
      </w:tr>
      <w:tr>
        <w:tc>
          <w:tcPr>
            <w:tcW w:type="dxa" w:w="19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隐患级别</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等级分析</w:t>
            </w:r>
          </w:p>
        </w:tc>
        <w:tc>
          <w:tcPr>
            <w:tcW w:type="dxa" w:w="53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支持A、B、C、D以及A级、B级等文本归一化</w:t>
            </w:r>
          </w:p>
        </w:tc>
      </w:tr>
      <w:tr>
        <w:tc>
          <w:tcPr>
            <w:tcW w:type="dxa" w:w="19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责任单位</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单位画像和预警</w:t>
            </w:r>
          </w:p>
        </w:tc>
        <w:tc>
          <w:tcPr>
            <w:tcW w:type="dxa" w:w="53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空值不参与单位维度分析</w:t>
            </w:r>
          </w:p>
        </w:tc>
      </w:tr>
      <w:tr>
        <w:tc>
          <w:tcPr>
            <w:tcW w:type="dxa" w:w="19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区域</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区域分析和预警</w:t>
            </w:r>
          </w:p>
        </w:tc>
        <w:tc>
          <w:tcPr>
            <w:tcW w:type="dxa" w:w="53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以“/”前第一段生成区域大类</w:t>
            </w:r>
          </w:p>
        </w:tc>
      </w:tr>
      <w:tr>
        <w:tc>
          <w:tcPr>
            <w:tcW w:type="dxa" w:w="19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隐患分类</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分类和专项分析</w:t>
            </w:r>
          </w:p>
        </w:tc>
        <w:tc>
          <w:tcPr>
            <w:tcW w:type="dxa" w:w="53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提取隐患第二级分类</w:t>
            </w:r>
          </w:p>
        </w:tc>
      </w:tr>
      <w:tr>
        <w:tc>
          <w:tcPr>
            <w:tcW w:type="dxa" w:w="19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接口队办/责任班组/验证状态</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扩展画像</w:t>
            </w:r>
          </w:p>
        </w:tc>
        <w:tc>
          <w:tcPr>
            <w:tcW w:type="dxa" w:w="53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缺少时对应功能无法产生有效结果</w:t>
            </w:r>
          </w:p>
        </w:tc>
      </w:tr>
    </w:tbl>
    <w:p>
      <w:pPr>
        <w:spacing w:after="0"/>
      </w:pPr>
    </w:p>
    <w:p>
      <w:pPr>
        <w:pStyle w:val="Heading2"/>
        <w:keepNext/>
      </w:pPr>
      <w:r>
        <w:t>3.2 预警刹车数据</w:t>
      </w:r>
    </w:p>
    <w:p>
      <w:r>
        <w:rPr>
          <w:rFonts w:ascii="Calibri" w:hAnsi="Calibri" w:eastAsia="Microsoft YaHei"/>
          <w:b w:val="0"/>
          <w:color w:val="202A35"/>
          <w:sz w:val="21"/>
        </w:rPr>
        <w:t>系统支持通报批评、整改通知、挂牌督办、管理约谈和停工令。上传后会根据表头、Sheet名称、文件名和编号前缀识别类型，并标准化责任单位和发出日期。</w:t>
      </w:r>
    </w:p>
    <w:tbl>
      <w:tblPr>
        <w:tblStyle w:val="TableGrid"/>
        <w:tblW w:type="dxa" w:w="9360"/>
        <w:jc w:val="left"/>
        <w:tblLayout w:type="fixed"/>
        <w:tblLook w:firstColumn="1" w:firstRow="1" w:lastColumn="0" w:lastRow="0" w:noHBand="0" w:noVBand="1" w:val="04A0"/>
        <w:tblInd w:w="120" w:type="dxa"/>
      </w:tblPr>
      <w:tblGrid>
        <w:gridCol w:w="1900"/>
        <w:gridCol w:w="3900"/>
        <w:gridCol w:w="3560"/>
      </w:tblGrid>
      <w:tr>
        <w:trPr>
          <w:tblHeader w:val="true"/>
        </w:trPr>
        <w:tc>
          <w:tcPr>
            <w:tcW w:type="dxa" w:w="1900"/>
            <w:shd w:fill="E8F1FA"/>
            <w:vAlign w:val="center"/>
            <w:tcMar>
              <w:top w:w="80" w:type="dxa"/>
              <w:start w:w="120" w:type="dxa"/>
              <w:bottom w:w="80" w:type="dxa"/>
              <w:end w:w="120" w:type="dxa"/>
            </w:tcMar>
          </w:tcPr>
          <w:p>
            <w:pPr>
              <w:jc w:val="center"/>
            </w:pPr>
            <w:r>
              <w:rPr>
                <w:rFonts w:ascii="Calibri" w:hAnsi="Calibri" w:eastAsia="Microsoft YaHei"/>
                <w:b/>
                <w:color w:val="173B63"/>
                <w:sz w:val="19"/>
              </w:rPr>
              <w:t>类型</w:t>
            </w:r>
          </w:p>
        </w:tc>
        <w:tc>
          <w:tcPr>
            <w:tcW w:type="dxa" w:w="3900"/>
            <w:shd w:fill="E8F1FA"/>
            <w:vAlign w:val="center"/>
            <w:tcMar>
              <w:top w:w="80" w:type="dxa"/>
              <w:start w:w="120" w:type="dxa"/>
              <w:bottom w:w="80" w:type="dxa"/>
              <w:end w:w="120" w:type="dxa"/>
            </w:tcMar>
          </w:tcPr>
          <w:p>
            <w:pPr>
              <w:jc w:val="center"/>
            </w:pPr>
            <w:r>
              <w:rPr>
                <w:rFonts w:ascii="Calibri" w:hAnsi="Calibri" w:eastAsia="Microsoft YaHei"/>
                <w:b/>
                <w:color w:val="173B63"/>
                <w:sz w:val="19"/>
              </w:rPr>
              <w:t>单位来源</w:t>
            </w:r>
          </w:p>
        </w:tc>
        <w:tc>
          <w:tcPr>
            <w:tcW w:type="dxa" w:w="3560"/>
            <w:shd w:fill="E8F1FA"/>
            <w:vAlign w:val="center"/>
            <w:tcMar>
              <w:top w:w="80" w:type="dxa"/>
              <w:start w:w="120" w:type="dxa"/>
              <w:bottom w:w="80" w:type="dxa"/>
              <w:end w:w="120" w:type="dxa"/>
            </w:tcMar>
          </w:tcPr>
          <w:p>
            <w:pPr>
              <w:jc w:val="center"/>
            </w:pPr>
            <w:r>
              <w:rPr>
                <w:rFonts w:ascii="Calibri" w:hAnsi="Calibri" w:eastAsia="Microsoft YaHei"/>
                <w:b/>
                <w:color w:val="173B63"/>
                <w:sz w:val="19"/>
              </w:rPr>
              <w:t>日期来源</w:t>
            </w:r>
          </w:p>
        </w:tc>
      </w:tr>
      <w:tr>
        <w:tc>
          <w:tcPr>
            <w:tcW w:type="dxa" w:w="19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停工令</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责任单位</w:t>
            </w:r>
          </w:p>
        </w:tc>
        <w:tc>
          <w:tcPr>
            <w:tcW w:type="dxa" w:w="35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发出日期或审批通过时间</w:t>
            </w:r>
          </w:p>
        </w:tc>
      </w:tr>
      <w:tr>
        <w:tc>
          <w:tcPr>
            <w:tcW w:type="dxa" w:w="19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管理约谈</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被约谈方（按现有上级单位规则归并）</w:t>
            </w:r>
          </w:p>
        </w:tc>
        <w:tc>
          <w:tcPr>
            <w:tcW w:type="dxa" w:w="35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发出时间</w:t>
            </w:r>
          </w:p>
        </w:tc>
      </w:tr>
      <w:tr>
        <w:tc>
          <w:tcPr>
            <w:tcW w:type="dxa" w:w="19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挂牌督办</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责任承包商</w:t>
            </w:r>
          </w:p>
        </w:tc>
        <w:tc>
          <w:tcPr>
            <w:tcW w:type="dxa" w:w="35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发出日期或审批通过时间</w:t>
            </w:r>
          </w:p>
        </w:tc>
      </w:tr>
      <w:tr>
        <w:tc>
          <w:tcPr>
            <w:tcW w:type="dxa" w:w="19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通报批评</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责任承包商</w:t>
            </w:r>
          </w:p>
        </w:tc>
        <w:tc>
          <w:tcPr>
            <w:tcW w:type="dxa" w:w="35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发出日期或审批通过时间</w:t>
            </w:r>
          </w:p>
        </w:tc>
      </w:tr>
      <w:tr>
        <w:tc>
          <w:tcPr>
            <w:tcW w:type="dxa" w:w="19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整改通知</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责任承包商</w:t>
            </w:r>
          </w:p>
        </w:tc>
        <w:tc>
          <w:tcPr>
            <w:tcW w:type="dxa" w:w="35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发出日期或审批通过时间</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0EE"/>
            <w:vAlign w:val="center"/>
            <w:tcMar>
              <w:top w:w="80" w:type="dxa"/>
              <w:start w:w="120" w:type="dxa"/>
              <w:bottom w:w="80" w:type="dxa"/>
              <w:end w:w="120" w:type="dxa"/>
            </w:tcMar>
          </w:tcPr>
          <w:p>
            <w:pPr>
              <w:spacing w:after="40"/>
            </w:pPr>
            <w:r>
              <w:rPr>
                <w:rFonts w:ascii="Calibri" w:hAnsi="Calibri" w:eastAsia="Microsoft YaHei"/>
                <w:b/>
                <w:color w:val="B42318"/>
                <w:sz w:val="20"/>
              </w:rPr>
              <w:t>识别失败处理</w:t>
            </w:r>
          </w:p>
          <w:p>
            <w:pPr>
              <w:spacing w:after="0" w:line="276" w:lineRule="auto"/>
            </w:pPr>
            <w:r>
              <w:rPr>
                <w:rFonts w:ascii="Calibri" w:hAnsi="Calibri" w:eastAsia="Microsoft YaHei"/>
                <w:b w:val="0"/>
                <w:color w:val="202A35"/>
                <w:sz w:val="19"/>
              </w:rPr>
              <w:t>若文件显示“识别失败”，请检查前10行是否存在“编号”或“约谈编号”表头，以及文件名、Sheet名称或编号特征是否能识别类型。</w:t>
            </w:r>
          </w:p>
        </w:tc>
      </w:tr>
    </w:tbl>
    <w:p>
      <w:pPr>
        <w:spacing w:after="0"/>
      </w:pPr>
    </w:p>
    <w:p>
      <w:pPr>
        <w:pStyle w:val="Heading2"/>
        <w:keepNext/>
      </w:pPr>
      <w:r>
        <w:t>3.3 文件管理操作</w:t>
      </w:r>
    </w:p>
    <w:p>
      <w:pPr>
        <w:pStyle w:val="ListNumber"/>
        <w:spacing w:after="100" w:line="288" w:lineRule="auto"/>
        <w:ind w:left="720" w:hanging="360"/>
      </w:pPr>
      <w:r>
        <w:rPr>
          <w:rFonts w:ascii="Calibri" w:hAnsi="Calibri" w:eastAsia="Microsoft YaHei"/>
          <w:b w:val="0"/>
          <w:color w:val="202A35"/>
          <w:sz w:val="21"/>
        </w:rPr>
        <w:t>点击“添加文件”，可一次选择多个Excel文件。</w:t>
      </w:r>
    </w:p>
    <w:p>
      <w:pPr>
        <w:pStyle w:val="ListNumber"/>
        <w:spacing w:after="100" w:line="288" w:lineRule="auto"/>
        <w:ind w:left="720" w:hanging="360"/>
      </w:pPr>
      <w:r>
        <w:rPr>
          <w:rFonts w:ascii="Calibri" w:hAnsi="Calibri" w:eastAsia="Microsoft YaHei"/>
          <w:b w:val="0"/>
          <w:color w:val="202A35"/>
          <w:sz w:val="21"/>
        </w:rPr>
        <w:t>在当前文件表中确认文件名称及识别/加载状态。重复路径文件会被跳过。</w:t>
      </w:r>
    </w:p>
    <w:p>
      <w:pPr>
        <w:pStyle w:val="ListNumber"/>
        <w:spacing w:after="100" w:line="288" w:lineRule="auto"/>
        <w:ind w:left="720" w:hanging="360"/>
      </w:pPr>
      <w:r>
        <w:rPr>
          <w:rFonts w:ascii="Calibri" w:hAnsi="Calibri" w:eastAsia="Microsoft YaHei"/>
          <w:b w:val="0"/>
          <w:color w:val="202A35"/>
          <w:sz w:val="21"/>
        </w:rPr>
        <w:t>不需要的文件可选中后删除；“清空全部”会清除当前模块文件列表。</w:t>
      </w:r>
    </w:p>
    <w:p>
      <w:pPr>
        <w:pStyle w:val="ListNumber"/>
        <w:spacing w:after="100" w:line="288" w:lineRule="auto"/>
        <w:ind w:left="720" w:hanging="360"/>
      </w:pPr>
      <w:r>
        <w:rPr>
          <w:rFonts w:ascii="Calibri" w:hAnsi="Calibri" w:eastAsia="Microsoft YaHei"/>
          <w:b w:val="0"/>
          <w:color w:val="202A35"/>
          <w:sz w:val="21"/>
        </w:rPr>
        <w:t>点击“加载数据”，等待运行日志提示加载完成。文件列表变化后应重新加载。</w:t>
      </w:r>
    </w:p>
    <w:p>
      <w:r>
        <w:br w:type="page"/>
      </w:r>
    </w:p>
    <w:p>
      <w:pPr>
        <w:pStyle w:val="Heading1"/>
        <w:keepNext/>
      </w:pPr>
      <w:r>
        <w:t>4  隐患分析模块</w:t>
      </w:r>
    </w:p>
    <w:p>
      <w:r>
        <w:rPr>
          <w:rFonts w:ascii="Calibri" w:hAnsi="Calibri" w:eastAsia="Microsoft YaHei"/>
          <w:b w:val="0"/>
          <w:color w:val="202A35"/>
          <w:sz w:val="21"/>
        </w:rPr>
        <w:t>隐患分析模块提供总体统计、单位画像、区域画像、专项分析和趋势分析。所有功能使用当前已经加载的隐患数据及所选统计周期。</w:t>
      </w:r>
    </w:p>
    <w:p>
      <w:pPr>
        <w:pStyle w:val="Heading2"/>
        <w:keepNext/>
      </w:pPr>
      <w:r>
        <w:t>4.1 总体分析</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shd w:fill="E8F1FA"/>
            <w:vAlign w:val="center"/>
            <w:tcMar>
              <w:top w:w="80" w:type="dxa"/>
              <w:start w:w="120" w:type="dxa"/>
              <w:bottom w:w="80" w:type="dxa"/>
              <w:end w:w="120" w:type="dxa"/>
            </w:tcMar>
          </w:tcPr>
          <w:p>
            <w:pPr>
              <w:jc w:val="center"/>
            </w:pPr>
            <w:r>
              <w:rPr>
                <w:rFonts w:ascii="Calibri" w:hAnsi="Calibri" w:eastAsia="Microsoft YaHei"/>
                <w:b/>
                <w:color w:val="173B63"/>
                <w:sz w:val="19"/>
              </w:rPr>
              <w:t>功能</w:t>
            </w:r>
          </w:p>
        </w:tc>
        <w:tc>
          <w:tcPr>
            <w:tcW w:type="dxa" w:w="6560"/>
            <w:shd w:fill="E8F1FA"/>
            <w:vAlign w:val="center"/>
            <w:tcMar>
              <w:top w:w="80" w:type="dxa"/>
              <w:start w:w="120" w:type="dxa"/>
              <w:bottom w:w="80" w:type="dxa"/>
              <w:end w:w="120" w:type="dxa"/>
            </w:tcMar>
          </w:tcPr>
          <w:p>
            <w:pPr>
              <w:jc w:val="center"/>
            </w:pPr>
            <w:r>
              <w:rPr>
                <w:rFonts w:ascii="Calibri" w:hAnsi="Calibri" w:eastAsia="Microsoft YaHei"/>
                <w:b/>
                <w:color w:val="173B63"/>
                <w:sz w:val="19"/>
              </w:rPr>
              <w:t>说明</w:t>
            </w:r>
          </w:p>
        </w:tc>
      </w:tr>
      <w:tr>
        <w:tc>
          <w:tcPr>
            <w:tcW w:type="dxa" w:w="28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隐患等级分析</w:t>
            </w:r>
          </w:p>
        </w:tc>
        <w:tc>
          <w:tcPr>
            <w:tcW w:type="dxa" w:w="65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统计A/B/C/D等级数量及分布</w:t>
            </w:r>
          </w:p>
        </w:tc>
      </w:tr>
      <w:tr>
        <w:tc>
          <w:tcPr>
            <w:tcW w:type="dxa" w:w="28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单位Top10</w:t>
            </w:r>
          </w:p>
        </w:tc>
        <w:tc>
          <w:tcPr>
            <w:tcW w:type="dxa" w:w="65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按责任单位统计隐患数量前10名</w:t>
            </w:r>
          </w:p>
        </w:tc>
      </w:tr>
      <w:tr>
        <w:tc>
          <w:tcPr>
            <w:tcW w:type="dxa" w:w="28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隐患分类分析</w:t>
            </w:r>
          </w:p>
        </w:tc>
        <w:tc>
          <w:tcPr>
            <w:tcW w:type="dxa" w:w="65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统计隐患大类数量</w:t>
            </w:r>
          </w:p>
        </w:tc>
      </w:tr>
      <w:tr>
        <w:tc>
          <w:tcPr>
            <w:tcW w:type="dxa" w:w="28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隐患细类Top10</w:t>
            </w:r>
          </w:p>
        </w:tc>
        <w:tc>
          <w:tcPr>
            <w:tcW w:type="dxa" w:w="65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统计隐患二级细类前10名</w:t>
            </w:r>
          </w:p>
        </w:tc>
      </w:tr>
      <w:tr>
        <w:tc>
          <w:tcPr>
            <w:tcW w:type="dxa" w:w="28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区域分析</w:t>
            </w:r>
          </w:p>
        </w:tc>
        <w:tc>
          <w:tcPr>
            <w:tcW w:type="dxa" w:w="65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按区域大类统计隐患数量</w:t>
            </w:r>
          </w:p>
        </w:tc>
      </w:tr>
      <w:tr>
        <w:tc>
          <w:tcPr>
            <w:tcW w:type="dxa" w:w="28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接口队办分析</w:t>
            </w:r>
          </w:p>
        </w:tc>
        <w:tc>
          <w:tcPr>
            <w:tcW w:type="dxa" w:w="65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统计接口队办字段分布</w:t>
            </w:r>
          </w:p>
        </w:tc>
      </w:tr>
      <w:tr>
        <w:tc>
          <w:tcPr>
            <w:tcW w:type="dxa" w:w="28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AB级隐患统计</w:t>
            </w:r>
          </w:p>
        </w:tc>
        <w:tc>
          <w:tcPr>
            <w:tcW w:type="dxa" w:w="65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统计A/B级隐患的分类构成</w:t>
            </w:r>
          </w:p>
        </w:tc>
      </w:tr>
    </w:tbl>
    <w:p>
      <w:pPr>
        <w:spacing w:after="0"/>
      </w:pPr>
    </w:p>
    <w:p>
      <w:pPr>
        <w:pStyle w:val="Heading2"/>
        <w:keepNext/>
      </w:pPr>
      <w:r>
        <w:t>4.2 单位、区域和专项画像</w:t>
      </w:r>
    </w:p>
    <w:p>
      <w:pPr>
        <w:pStyle w:val="ListBullet"/>
        <w:spacing w:after="80" w:line="300" w:lineRule="auto"/>
        <w:ind w:left="540" w:hanging="271"/>
      </w:pPr>
      <w:r>
        <w:rPr>
          <w:rFonts w:ascii="Calibri" w:hAnsi="Calibri" w:eastAsia="Microsoft YaHei"/>
          <w:b w:val="0"/>
          <w:color w:val="202A35"/>
          <w:sz w:val="21"/>
        </w:rPr>
        <w:t>单位隐患画像：单位类别Top5、单位AB统计、单位多发班组、单位验证率和单位趋势。</w:t>
      </w:r>
    </w:p>
    <w:p>
      <w:pPr>
        <w:pStyle w:val="ListBullet"/>
        <w:spacing w:after="80" w:line="300" w:lineRule="auto"/>
        <w:ind w:left="540" w:hanging="271"/>
      </w:pPr>
      <w:r>
        <w:rPr>
          <w:rFonts w:ascii="Calibri" w:hAnsi="Calibri" w:eastAsia="Microsoft YaHei"/>
          <w:b w:val="0"/>
          <w:color w:val="202A35"/>
          <w:sz w:val="21"/>
        </w:rPr>
        <w:t>区域隐患画像：区域类别Top5、区域AB统计和区域趋势。</w:t>
      </w:r>
    </w:p>
    <w:p>
      <w:pPr>
        <w:pStyle w:val="ListBullet"/>
        <w:spacing w:after="80" w:line="300" w:lineRule="auto"/>
        <w:ind w:left="540" w:hanging="271"/>
      </w:pPr>
      <w:r>
        <w:rPr>
          <w:rFonts w:ascii="Calibri" w:hAnsi="Calibri" w:eastAsia="Microsoft YaHei"/>
          <w:b w:val="0"/>
          <w:color w:val="202A35"/>
          <w:sz w:val="21"/>
        </w:rPr>
        <w:t>专项分析：选择隐患第二级分类后，可查看专项总体趋势、各单位趋势或各区域趋势。</w:t>
      </w:r>
    </w:p>
    <w:p>
      <w:pPr>
        <w:pStyle w:val="ListBullet"/>
        <w:spacing w:after="80" w:line="300" w:lineRule="auto"/>
        <w:ind w:left="540" w:hanging="271"/>
      </w:pPr>
      <w:r>
        <w:rPr>
          <w:rFonts w:ascii="Calibri" w:hAnsi="Calibri" w:eastAsia="Microsoft YaHei"/>
          <w:b w:val="0"/>
          <w:color w:val="202A35"/>
          <w:sz w:val="21"/>
        </w:rPr>
        <w:t>选择弹窗支持按数量排序和名称搜索；确认对象后打开独立图表窗口。</w:t>
      </w:r>
    </w:p>
    <w:p>
      <w:pPr>
        <w:pStyle w:val="Heading2"/>
        <w:keepNext/>
      </w:pPr>
      <w:r>
        <w:t>4.3 趋势图操作</w:t>
      </w:r>
    </w:p>
    <w:p>
      <w:pPr>
        <w:pStyle w:val="ListNumber"/>
        <w:spacing w:after="100" w:line="288" w:lineRule="auto"/>
        <w:ind w:left="720" w:hanging="360"/>
      </w:pPr>
      <w:r>
        <w:rPr>
          <w:rFonts w:ascii="Calibri" w:hAnsi="Calibri" w:eastAsia="Microsoft YaHei"/>
          <w:b w:val="0"/>
          <w:color w:val="202A35"/>
          <w:sz w:val="21"/>
        </w:rPr>
        <w:t>先在左侧选择按周、按月或按季度。</w:t>
      </w:r>
    </w:p>
    <w:p>
      <w:pPr>
        <w:pStyle w:val="ListNumber"/>
        <w:spacing w:after="100" w:line="288" w:lineRule="auto"/>
        <w:ind w:left="720" w:hanging="360"/>
      </w:pPr>
      <w:r>
        <w:rPr>
          <w:rFonts w:ascii="Calibri" w:hAnsi="Calibri" w:eastAsia="Microsoft YaHei"/>
          <w:b w:val="0"/>
          <w:color w:val="202A35"/>
          <w:sz w:val="21"/>
        </w:rPr>
        <w:t>点击“总体趋势”“AB趋势”或单位/区域/专项趋势卡片。</w:t>
      </w:r>
    </w:p>
    <w:p>
      <w:pPr>
        <w:pStyle w:val="ListNumber"/>
        <w:spacing w:after="100" w:line="288" w:lineRule="auto"/>
        <w:ind w:left="720" w:hanging="360"/>
      </w:pPr>
      <w:r>
        <w:rPr>
          <w:rFonts w:ascii="Calibri" w:hAnsi="Calibri" w:eastAsia="Microsoft YaHei"/>
          <w:b w:val="0"/>
          <w:color w:val="202A35"/>
          <w:sz w:val="21"/>
        </w:rPr>
        <w:t>横坐标使用紧凑周期标签；长时间范围会自动抽样刻度，数据点本身不会被删除。</w:t>
      </w:r>
    </w:p>
    <w:p>
      <w:pPr>
        <w:pStyle w:val="ListNumber"/>
        <w:spacing w:after="100" w:line="288" w:lineRule="auto"/>
        <w:ind w:left="720" w:hanging="360"/>
      </w:pPr>
      <w:r>
        <w:rPr>
          <w:rFonts w:ascii="Calibri" w:hAnsi="Calibri" w:eastAsia="Microsoft YaHei"/>
          <w:b w:val="0"/>
          <w:color w:val="202A35"/>
          <w:sz w:val="21"/>
        </w:rPr>
        <w:t>可使用图表窗口底部工具栏进行平移、缩放、恢复和保存图片。</w:t>
      </w:r>
    </w:p>
    <w:p>
      <w:pPr>
        <w:pStyle w:val="Heading1"/>
        <w:keepNext/>
      </w:pPr>
      <w:r>
        <w:t>5  预警刹车分析模块</w:t>
      </w:r>
    </w:p>
    <w:p>
      <w:pPr>
        <w:pStyle w:val="Heading2"/>
        <w:keepNext/>
      </w:pPr>
      <w:r>
        <w:t>5.1 总体分析</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shd w:fill="E8F1FA"/>
            <w:vAlign w:val="center"/>
            <w:tcMar>
              <w:top w:w="80" w:type="dxa"/>
              <w:start w:w="120" w:type="dxa"/>
              <w:bottom w:w="80" w:type="dxa"/>
              <w:end w:w="120" w:type="dxa"/>
            </w:tcMar>
          </w:tcPr>
          <w:p>
            <w:pPr>
              <w:jc w:val="center"/>
            </w:pPr>
            <w:r>
              <w:rPr>
                <w:rFonts w:ascii="Calibri" w:hAnsi="Calibri" w:eastAsia="Microsoft YaHei"/>
                <w:b/>
                <w:color w:val="173B63"/>
                <w:sz w:val="19"/>
              </w:rPr>
              <w:t>功能</w:t>
            </w:r>
          </w:p>
        </w:tc>
        <w:tc>
          <w:tcPr>
            <w:tcW w:type="dxa" w:w="6560"/>
            <w:shd w:fill="E8F1FA"/>
            <w:vAlign w:val="center"/>
            <w:tcMar>
              <w:top w:w="80" w:type="dxa"/>
              <w:start w:w="120" w:type="dxa"/>
              <w:bottom w:w="80" w:type="dxa"/>
              <w:end w:w="120" w:type="dxa"/>
            </w:tcMar>
          </w:tcPr>
          <w:p>
            <w:pPr>
              <w:jc w:val="center"/>
            </w:pPr>
            <w:r>
              <w:rPr>
                <w:rFonts w:ascii="Calibri" w:hAnsi="Calibri" w:eastAsia="Microsoft YaHei"/>
                <w:b/>
                <w:color w:val="173B63"/>
                <w:sz w:val="19"/>
              </w:rPr>
              <w:t>说明</w:t>
            </w:r>
          </w:p>
        </w:tc>
      </w:tr>
      <w:tr>
        <w:tc>
          <w:tcPr>
            <w:tcW w:type="dxa" w:w="28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预警刹车类别</w:t>
            </w:r>
          </w:p>
        </w:tc>
        <w:tc>
          <w:tcPr>
            <w:tcW w:type="dxa" w:w="65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统计通报批评、整改通知、挂牌督办、管理约谈、停工令</w:t>
            </w:r>
          </w:p>
        </w:tc>
      </w:tr>
      <w:tr>
        <w:tc>
          <w:tcPr>
            <w:tcW w:type="dxa" w:w="28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单位Top10</w:t>
            </w:r>
          </w:p>
        </w:tc>
        <w:tc>
          <w:tcPr>
            <w:tcW w:type="dxa" w:w="65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统计责任单位预警刹车数量前10名</w:t>
            </w:r>
          </w:p>
        </w:tc>
      </w:tr>
      <w:tr>
        <w:tc>
          <w:tcPr>
            <w:tcW w:type="dxa" w:w="28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问题类别Top10</w:t>
            </w:r>
          </w:p>
        </w:tc>
        <w:tc>
          <w:tcPr>
            <w:tcW w:type="dxa" w:w="65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统计预警问题类别前10名；多类别字段会拆分后统计</w:t>
            </w:r>
          </w:p>
        </w:tc>
      </w:tr>
      <w:tr>
        <w:tc>
          <w:tcPr>
            <w:tcW w:type="dxa" w:w="28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总体趋势</w:t>
            </w:r>
          </w:p>
        </w:tc>
        <w:tc>
          <w:tcPr>
            <w:tcW w:type="dxa" w:w="65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展示全部预警刹车按周期的总量趋势</w:t>
            </w:r>
          </w:p>
        </w:tc>
      </w:tr>
    </w:tbl>
    <w:p>
      <w:pPr>
        <w:spacing w:after="0"/>
      </w:pPr>
    </w:p>
    <w:p>
      <w:pPr>
        <w:pStyle w:val="Heading2"/>
        <w:keepNext/>
      </w:pPr>
      <w:r>
        <w:t>5.2 单位画像与专项分析</w:t>
      </w:r>
    </w:p>
    <w:p>
      <w:pPr>
        <w:pStyle w:val="ListBullet"/>
        <w:spacing w:after="80" w:line="300" w:lineRule="auto"/>
        <w:ind w:left="540" w:hanging="271"/>
      </w:pPr>
      <w:r>
        <w:rPr>
          <w:rFonts w:ascii="Calibri" w:hAnsi="Calibri" w:eastAsia="Microsoft YaHei"/>
          <w:b w:val="0"/>
          <w:color w:val="202A35"/>
          <w:sz w:val="21"/>
        </w:rPr>
        <w:t>单位问题类别Top3：选择责任单位后查看其主要预警问题类别。</w:t>
      </w:r>
    </w:p>
    <w:p>
      <w:pPr>
        <w:pStyle w:val="ListBullet"/>
        <w:spacing w:after="80" w:line="300" w:lineRule="auto"/>
        <w:ind w:left="540" w:hanging="271"/>
      </w:pPr>
      <w:r>
        <w:rPr>
          <w:rFonts w:ascii="Calibri" w:hAnsi="Calibri" w:eastAsia="Microsoft YaHei"/>
          <w:b w:val="0"/>
          <w:color w:val="202A35"/>
          <w:sz w:val="21"/>
        </w:rPr>
        <w:t>单位趋势：查看指定单位的预警刹车周期变化。</w:t>
      </w:r>
    </w:p>
    <w:p>
      <w:pPr>
        <w:pStyle w:val="ListBullet"/>
        <w:spacing w:after="80" w:line="300" w:lineRule="auto"/>
        <w:ind w:left="540" w:hanging="271"/>
      </w:pPr>
      <w:r>
        <w:rPr>
          <w:rFonts w:ascii="Calibri" w:hAnsi="Calibri" w:eastAsia="Microsoft YaHei"/>
          <w:b w:val="0"/>
          <w:color w:val="202A35"/>
          <w:sz w:val="21"/>
        </w:rPr>
        <w:t>专项趋势：选择问题类别后查看该类别总体周期趋势。</w:t>
      </w:r>
    </w:p>
    <w:p>
      <w:pPr>
        <w:pStyle w:val="ListBullet"/>
        <w:spacing w:after="80" w:line="300" w:lineRule="auto"/>
        <w:ind w:left="540" w:hanging="271"/>
      </w:pPr>
      <w:r>
        <w:rPr>
          <w:rFonts w:ascii="Calibri" w:hAnsi="Calibri" w:eastAsia="Microsoft YaHei"/>
          <w:b w:val="0"/>
          <w:color w:val="202A35"/>
          <w:sz w:val="21"/>
        </w:rPr>
        <w:t>专项分析（单位）：查看指定问题类别在各责任单位中的周期趋势。</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3FC"/>
            <w:vAlign w:val="center"/>
            <w:tcMar>
              <w:top w:w="80" w:type="dxa"/>
              <w:start w:w="120" w:type="dxa"/>
              <w:bottom w:w="80" w:type="dxa"/>
              <w:end w:w="120" w:type="dxa"/>
            </w:tcMar>
          </w:tcPr>
          <w:p>
            <w:pPr>
              <w:spacing w:after="40"/>
            </w:pPr>
            <w:r>
              <w:rPr>
                <w:rFonts w:ascii="Calibri" w:hAnsi="Calibri" w:eastAsia="Microsoft YaHei"/>
                <w:b/>
                <w:color w:val="173B63"/>
                <w:sz w:val="20"/>
              </w:rPr>
              <w:t>去重口径</w:t>
            </w:r>
          </w:p>
          <w:p>
            <w:pPr>
              <w:spacing w:after="0" w:line="276" w:lineRule="auto"/>
            </w:pPr>
            <w:r>
              <w:rPr>
                <w:rFonts w:ascii="Calibri" w:hAnsi="Calibri" w:eastAsia="Microsoft YaHei"/>
                <w:b w:val="0"/>
                <w:color w:val="202A35"/>
                <w:sz w:val="19"/>
              </w:rPr>
              <w:t>同一预警刹车类型下，预警编号相同的记录只保留第一条。问题类别拆分不会重复增加预警刹车总量。</w:t>
            </w:r>
          </w:p>
        </w:tc>
      </w:tr>
    </w:tbl>
    <w:p>
      <w:pPr>
        <w:spacing w:after="0"/>
      </w:pPr>
    </w:p>
    <w:p>
      <w:r>
        <w:br w:type="page"/>
      </w:r>
    </w:p>
    <w:p>
      <w:pPr>
        <w:pStyle w:val="Heading1"/>
        <w:keepNext/>
      </w:pPr>
      <w:r>
        <w:t>6  综合分析模块</w:t>
      </w:r>
    </w:p>
    <w:p>
      <w:pPr>
        <w:pStyle w:val="Heading2"/>
        <w:keepNext/>
      </w:pPr>
      <w:r>
        <w:t>6.1 时间范围</w:t>
      </w:r>
    </w:p>
    <w:p>
      <w:r>
        <w:rPr>
          <w:rFonts w:ascii="Calibri" w:hAnsi="Calibri" w:eastAsia="Microsoft YaHei"/>
          <w:b w:val="0"/>
          <w:color w:val="202A35"/>
          <w:sz w:val="21"/>
        </w:rPr>
        <w:t>综合分析复用前两个模块已经加载的数据，不提供独立上传。可选日期范围来自隐患检查日期与预警刹车发出日期的并集。</w:t>
      </w:r>
    </w:p>
    <w:p>
      <w:pPr>
        <w:pStyle w:val="ListNumber"/>
        <w:spacing w:after="100" w:line="288" w:lineRule="auto"/>
        <w:ind w:left="720" w:hanging="360"/>
      </w:pPr>
      <w:r>
        <w:rPr>
          <w:rFonts w:ascii="Calibri" w:hAnsi="Calibri" w:eastAsia="Microsoft YaHei"/>
          <w:b w:val="0"/>
          <w:color w:val="202A35"/>
          <w:sz w:val="21"/>
        </w:rPr>
        <w:t>选择开始日期。</w:t>
      </w:r>
    </w:p>
    <w:p>
      <w:pPr>
        <w:pStyle w:val="ListNumber"/>
        <w:spacing w:after="100" w:line="288" w:lineRule="auto"/>
        <w:ind w:left="720" w:hanging="360"/>
      </w:pPr>
      <w:r>
        <w:rPr>
          <w:rFonts w:ascii="Calibri" w:hAnsi="Calibri" w:eastAsia="Microsoft YaHei"/>
          <w:b w:val="0"/>
          <w:color w:val="202A35"/>
          <w:sz w:val="21"/>
        </w:rPr>
        <w:t>选择结束日期；开始日期不得晚于结束日期，且不得超出已加载数据范围。</w:t>
      </w:r>
    </w:p>
    <w:p>
      <w:pPr>
        <w:pStyle w:val="ListNumber"/>
        <w:spacing w:after="100" w:line="288" w:lineRule="auto"/>
        <w:ind w:left="720" w:hanging="360"/>
      </w:pPr>
      <w:r>
        <w:rPr>
          <w:rFonts w:ascii="Calibri" w:hAnsi="Calibri" w:eastAsia="Microsoft YaHei"/>
          <w:b w:val="0"/>
          <w:color w:val="202A35"/>
          <w:sz w:val="21"/>
        </w:rPr>
        <w:t>选择按周、按月或按季度统计。切换后总体大屏和预警结果自动刷新。</w:t>
      </w:r>
    </w:p>
    <w:p>
      <w:pPr>
        <w:pStyle w:val="Heading2"/>
        <w:keepNext/>
      </w:pPr>
      <w:r>
        <w:t>6.2 总体大屏</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E8F1FA"/>
            <w:vAlign w:val="center"/>
            <w:tcMar>
              <w:top w:w="80" w:type="dxa"/>
              <w:start w:w="120" w:type="dxa"/>
              <w:bottom w:w="80" w:type="dxa"/>
              <w:end w:w="120" w:type="dxa"/>
            </w:tcMar>
          </w:tcPr>
          <w:p>
            <w:pPr>
              <w:jc w:val="center"/>
            </w:pPr>
            <w:r>
              <w:rPr>
                <w:rFonts w:ascii="Calibri" w:hAnsi="Calibri" w:eastAsia="Microsoft YaHei"/>
                <w:b/>
                <w:color w:val="173B63"/>
                <w:sz w:val="19"/>
              </w:rPr>
              <w:t>图表</w:t>
            </w:r>
          </w:p>
        </w:tc>
        <w:tc>
          <w:tcPr>
            <w:tcW w:type="dxa" w:w="6360"/>
            <w:shd w:fill="E8F1FA"/>
            <w:vAlign w:val="center"/>
            <w:tcMar>
              <w:top w:w="80" w:type="dxa"/>
              <w:start w:w="120" w:type="dxa"/>
              <w:bottom w:w="80" w:type="dxa"/>
              <w:end w:w="120" w:type="dxa"/>
            </w:tcMar>
          </w:tcPr>
          <w:p>
            <w:pPr>
              <w:jc w:val="center"/>
            </w:pPr>
            <w:r>
              <w:rPr>
                <w:rFonts w:ascii="Calibri" w:hAnsi="Calibri" w:eastAsia="Microsoft YaHei"/>
                <w:b/>
                <w:color w:val="173B63"/>
                <w:sz w:val="19"/>
              </w:rPr>
              <w:t>统计口径</w:t>
            </w:r>
          </w:p>
        </w:tc>
      </w:tr>
      <w:tr>
        <w:tc>
          <w:tcPr>
            <w:tcW w:type="dxa" w:w="30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隐患分类（ABCD）</w:t>
            </w:r>
          </w:p>
        </w:tc>
        <w:tc>
          <w:tcPr>
            <w:tcW w:type="dxa" w:w="63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所选时间段内A/B/C/D数量、占比及隐患总数</w:t>
            </w:r>
          </w:p>
        </w:tc>
      </w:tr>
      <w:tr>
        <w:tc>
          <w:tcPr>
            <w:tcW w:type="dxa" w:w="30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总体隐患数量趋势</w:t>
            </w:r>
          </w:p>
        </w:tc>
        <w:tc>
          <w:tcPr>
            <w:tcW w:type="dxa" w:w="63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全部隐患按所选周期聚合</w:t>
            </w:r>
          </w:p>
        </w:tc>
      </w:tr>
      <w:tr>
        <w:tc>
          <w:tcPr>
            <w:tcW w:type="dxa" w:w="30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预警刹车类别（五类）</w:t>
            </w:r>
          </w:p>
        </w:tc>
        <w:tc>
          <w:tcPr>
            <w:tcW w:type="dxa" w:w="63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五类管理措施数量、占比及总数</w:t>
            </w:r>
          </w:p>
        </w:tc>
      </w:tr>
      <w:tr>
        <w:tc>
          <w:tcPr>
            <w:tcW w:type="dxa" w:w="30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预警刹车总体趋势</w:t>
            </w:r>
          </w:p>
        </w:tc>
        <w:tc>
          <w:tcPr>
            <w:tcW w:type="dxa" w:w="63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五类措施合并后的周期总量</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8E6"/>
            <w:vAlign w:val="center"/>
            <w:tcMar>
              <w:top w:w="80" w:type="dxa"/>
              <w:start w:w="120" w:type="dxa"/>
              <w:bottom w:w="80" w:type="dxa"/>
              <w:end w:w="120" w:type="dxa"/>
            </w:tcMar>
          </w:tcPr>
          <w:p>
            <w:pPr>
              <w:spacing w:after="40"/>
            </w:pPr>
            <w:r>
              <w:rPr>
                <w:rFonts w:ascii="Calibri" w:hAnsi="Calibri" w:eastAsia="Microsoft YaHei"/>
                <w:b/>
                <w:color w:val="B58500"/>
                <w:sz w:val="20"/>
              </w:rPr>
              <w:t>数据缺失</w:t>
            </w:r>
          </w:p>
          <w:p>
            <w:pPr>
              <w:spacing w:after="0" w:line="276" w:lineRule="auto"/>
            </w:pPr>
            <w:r>
              <w:rPr>
                <w:rFonts w:ascii="Calibri" w:hAnsi="Calibri" w:eastAsia="Microsoft YaHei"/>
                <w:b w:val="0"/>
                <w:color w:val="202A35"/>
                <w:sz w:val="19"/>
              </w:rPr>
              <w:t>只加载一类数据时，对应图表正常展示，另一类图表显示未加载提示；空数据或字段异常不会导致整个综合页面崩溃。</w:t>
            </w:r>
          </w:p>
        </w:tc>
      </w:tr>
    </w:tbl>
    <w:p>
      <w:pPr>
        <w:spacing w:after="0"/>
      </w:pPr>
    </w:p>
    <w:p>
      <w:pPr>
        <w:pStyle w:val="Heading2"/>
        <w:keepNext/>
      </w:pPr>
      <w:r>
        <w:t>6.3 预警信息</w:t>
      </w:r>
    </w:p>
    <w:p>
      <w:r>
        <w:rPr>
          <w:rFonts w:ascii="Calibri" w:hAnsi="Calibri" w:eastAsia="Microsoft YaHei"/>
          <w:b w:val="0"/>
          <w:color w:val="202A35"/>
          <w:sz w:val="21"/>
        </w:rPr>
        <w:t>预警信息分为“单位预警、区域预警、专项预警”三个按钮，一次只显示一个类别。页面只展示当前完整周期仍然命中规则的对象，不展示已改善对象。</w:t>
      </w:r>
    </w:p>
    <w:p>
      <w:pPr>
        <w:pStyle w:val="ListBullet"/>
        <w:spacing w:after="80" w:line="300" w:lineRule="auto"/>
        <w:ind w:left="540" w:hanging="271"/>
      </w:pPr>
      <w:r>
        <w:rPr>
          <w:rFonts w:ascii="Calibri" w:hAnsi="Calibri" w:eastAsia="Microsoft YaHei"/>
          <w:b w:val="0"/>
          <w:color w:val="202A35"/>
          <w:sz w:val="21"/>
        </w:rPr>
        <w:t>黄色：只命中1条普通规则。</w:t>
      </w:r>
    </w:p>
    <w:p>
      <w:pPr>
        <w:pStyle w:val="ListBullet"/>
        <w:spacing w:after="80" w:line="300" w:lineRule="auto"/>
        <w:ind w:left="540" w:hanging="271"/>
      </w:pPr>
      <w:r>
        <w:rPr>
          <w:rFonts w:ascii="Calibri" w:hAnsi="Calibri" w:eastAsia="Microsoft YaHei"/>
          <w:b w:val="0"/>
          <w:color w:val="202A35"/>
          <w:sz w:val="21"/>
        </w:rPr>
        <w:t>橙色：命中1条严重规则，或至少2条普通规则。</w:t>
      </w:r>
    </w:p>
    <w:p>
      <w:pPr>
        <w:pStyle w:val="ListBullet"/>
        <w:spacing w:after="80" w:line="300" w:lineRule="auto"/>
        <w:ind w:left="540" w:hanging="271"/>
      </w:pPr>
      <w:r>
        <w:rPr>
          <w:rFonts w:ascii="Calibri" w:hAnsi="Calibri" w:eastAsia="Microsoft YaHei"/>
          <w:b w:val="0"/>
          <w:color w:val="202A35"/>
          <w:sz w:val="21"/>
        </w:rPr>
        <w:t>红色：命中至少2条严重规则，或合计命中3条及以上规则。</w:t>
      </w:r>
    </w:p>
    <w:p>
      <w:pPr>
        <w:pStyle w:val="ListBullet"/>
        <w:spacing w:after="80" w:line="300" w:lineRule="auto"/>
        <w:ind w:left="540" w:hanging="271"/>
      </w:pPr>
      <w:r>
        <w:rPr>
          <w:rFonts w:ascii="Calibri" w:hAnsi="Calibri" w:eastAsia="Microsoft YaHei"/>
          <w:b w:val="0"/>
          <w:color w:val="202A35"/>
          <w:sz w:val="21"/>
        </w:rPr>
        <w:t>新增：当前触发、上一完整周期未触发；持续：当前和上一完整周期均触发。</w:t>
      </w:r>
    </w:p>
    <w:p>
      <w:pPr>
        <w:pStyle w:val="Heading2"/>
        <w:keepNext/>
      </w:pPr>
      <w:r>
        <w:t>6.4 规则设置和说明</w:t>
      </w:r>
    </w:p>
    <w:p>
      <w:pPr>
        <w:pStyle w:val="ListNumber"/>
        <w:spacing w:after="100" w:line="288" w:lineRule="auto"/>
        <w:ind w:left="720" w:hanging="360"/>
      </w:pPr>
      <w:r>
        <w:rPr>
          <w:rFonts w:ascii="Calibri" w:hAnsi="Calibri" w:eastAsia="Microsoft YaHei"/>
          <w:b w:val="0"/>
          <w:color w:val="202A35"/>
          <w:sz w:val="21"/>
        </w:rPr>
        <w:t>点击右上角“预警规则设置”。</w:t>
      </w:r>
    </w:p>
    <w:p>
      <w:pPr>
        <w:pStyle w:val="ListNumber"/>
        <w:spacing w:after="100" w:line="288" w:lineRule="auto"/>
        <w:ind w:left="720" w:hanging="360"/>
      </w:pPr>
      <w:r>
        <w:rPr>
          <w:rFonts w:ascii="Calibri" w:hAnsi="Calibri" w:eastAsia="Microsoft YaHei"/>
          <w:b w:val="0"/>
          <w:color w:val="202A35"/>
          <w:sz w:val="21"/>
        </w:rPr>
        <w:t>在单位、区域、专项页签中修改启用状态和阈值。百分比范围为0至10000，周期和数量必须为正整数。</w:t>
      </w:r>
    </w:p>
    <w:p>
      <w:pPr>
        <w:pStyle w:val="ListNumber"/>
        <w:spacing w:after="100" w:line="288" w:lineRule="auto"/>
        <w:ind w:left="720" w:hanging="360"/>
      </w:pPr>
      <w:r>
        <w:rPr>
          <w:rFonts w:ascii="Calibri" w:hAnsi="Calibri" w:eastAsia="Microsoft YaHei"/>
          <w:b w:val="0"/>
          <w:color w:val="202A35"/>
          <w:sz w:val="21"/>
        </w:rPr>
        <w:t>点击“保存”。保存成功后缓存清除，三类结果立即重新计算。</w:t>
      </w:r>
    </w:p>
    <w:p>
      <w:pPr>
        <w:pStyle w:val="ListNumber"/>
        <w:spacing w:after="100" w:line="288" w:lineRule="auto"/>
        <w:ind w:left="720" w:hanging="360"/>
      </w:pPr>
      <w:r>
        <w:rPr>
          <w:rFonts w:ascii="Calibri" w:hAnsi="Calibri" w:eastAsia="Microsoft YaHei"/>
          <w:b w:val="0"/>
          <w:color w:val="202A35"/>
          <w:sz w:val="21"/>
        </w:rPr>
        <w:t>点击“规则说明”可查看当前实际阈值、普通/严重属性和等级组合规则。</w:t>
      </w:r>
    </w:p>
    <w:p>
      <w:r>
        <w:br w:type="page"/>
      </w:r>
    </w:p>
    <w:p>
      <w:pPr>
        <w:pStyle w:val="Heading1"/>
        <w:keepNext/>
      </w:pPr>
      <w:r>
        <w:t>7  综合预警规则说明</w:t>
      </w:r>
    </w:p>
    <w:p>
      <w:pPr>
        <w:pStyle w:val="Heading2"/>
        <w:keepNext/>
      </w:pPr>
      <w:r>
        <w:t>7.1 单位预警规则</w:t>
      </w:r>
    </w:p>
    <w:tbl>
      <w:tblPr>
        <w:tblStyle w:val="TableGrid"/>
        <w:tblW w:type="dxa" w:w="9360"/>
        <w:jc w:val="left"/>
        <w:tblLayout w:type="fixed"/>
        <w:tblLook w:firstColumn="1" w:firstRow="1" w:lastColumn="0" w:lastRow="0" w:noHBand="0" w:noVBand="1" w:val="04A0"/>
        <w:tblInd w:w="120" w:type="dxa"/>
      </w:tblPr>
      <w:tblGrid>
        <w:gridCol w:w="2600"/>
        <w:gridCol w:w="1300"/>
        <w:gridCol w:w="5460"/>
      </w:tblGrid>
      <w:tr>
        <w:trPr>
          <w:tblHeader w:val="true"/>
        </w:trPr>
        <w:tc>
          <w:tcPr>
            <w:tcW w:type="dxa" w:w="2600"/>
            <w:shd w:fill="E8F1FA"/>
            <w:vAlign w:val="center"/>
            <w:tcMar>
              <w:top w:w="80" w:type="dxa"/>
              <w:start w:w="120" w:type="dxa"/>
              <w:bottom w:w="80" w:type="dxa"/>
              <w:end w:w="120" w:type="dxa"/>
            </w:tcMar>
          </w:tcPr>
          <w:p>
            <w:pPr>
              <w:jc w:val="center"/>
            </w:pPr>
            <w:r>
              <w:rPr>
                <w:rFonts w:ascii="Calibri" w:hAnsi="Calibri" w:eastAsia="Microsoft YaHei"/>
                <w:b/>
                <w:color w:val="173B63"/>
                <w:sz w:val="19"/>
              </w:rPr>
              <w:t>规则</w:t>
            </w:r>
          </w:p>
        </w:tc>
        <w:tc>
          <w:tcPr>
            <w:tcW w:type="dxa" w:w="1300"/>
            <w:shd w:fill="E8F1FA"/>
            <w:vAlign w:val="center"/>
            <w:tcMar>
              <w:top w:w="80" w:type="dxa"/>
              <w:start w:w="120" w:type="dxa"/>
              <w:bottom w:w="80" w:type="dxa"/>
              <w:end w:w="120" w:type="dxa"/>
            </w:tcMar>
          </w:tcPr>
          <w:p>
            <w:pPr>
              <w:jc w:val="center"/>
            </w:pPr>
            <w:r>
              <w:rPr>
                <w:rFonts w:ascii="Calibri" w:hAnsi="Calibri" w:eastAsia="Microsoft YaHei"/>
                <w:b/>
                <w:color w:val="173B63"/>
                <w:sz w:val="19"/>
              </w:rPr>
              <w:t>属性</w:t>
            </w:r>
          </w:p>
        </w:tc>
        <w:tc>
          <w:tcPr>
            <w:tcW w:type="dxa" w:w="5460"/>
            <w:shd w:fill="E8F1FA"/>
            <w:vAlign w:val="center"/>
            <w:tcMar>
              <w:top w:w="80" w:type="dxa"/>
              <w:start w:w="120" w:type="dxa"/>
              <w:bottom w:w="80" w:type="dxa"/>
              <w:end w:w="120" w:type="dxa"/>
            </w:tcMar>
          </w:tcPr>
          <w:p>
            <w:pPr>
              <w:jc w:val="center"/>
            </w:pPr>
            <w:r>
              <w:rPr>
                <w:rFonts w:ascii="Calibri" w:hAnsi="Calibri" w:eastAsia="Microsoft YaHei"/>
                <w:b/>
                <w:color w:val="173B63"/>
                <w:sz w:val="19"/>
              </w:rPr>
              <w:t>默认判断条件</w:t>
            </w:r>
          </w:p>
        </w:tc>
      </w:tr>
      <w:tr>
        <w:tc>
          <w:tcPr>
            <w:tcW w:type="dxa" w:w="26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历史基线异常</w:t>
            </w:r>
          </w:p>
        </w:tc>
        <w:tc>
          <w:tcPr>
            <w:tcW w:type="dxa" w:w="130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普通</w:t>
            </w:r>
          </w:p>
        </w:tc>
        <w:tc>
          <w:tcPr>
            <w:tcW w:type="dxa" w:w="54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当前较前3周/3月/2季度均值高30%，且增加不少于5条</w:t>
            </w:r>
          </w:p>
        </w:tc>
      </w:tr>
      <w:tr>
        <w:tc>
          <w:tcPr>
            <w:tcW w:type="dxa" w:w="26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连续恶化</w:t>
            </w:r>
          </w:p>
        </w:tc>
        <w:tc>
          <w:tcPr>
            <w:tcW w:type="dxa" w:w="130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普通</w:t>
            </w:r>
          </w:p>
        </w:tc>
        <w:tc>
          <w:tcPr>
            <w:tcW w:type="dxa" w:w="54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最近3个完整周期严格上升，首末增长30%且增加不少于5条</w:t>
            </w:r>
          </w:p>
        </w:tc>
      </w:tr>
      <w:tr>
        <w:tc>
          <w:tcPr>
            <w:tcW w:type="dxa" w:w="26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A/B级异常</w:t>
            </w:r>
          </w:p>
        </w:tc>
        <w:tc>
          <w:tcPr>
            <w:tcW w:type="dxa" w:w="130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严重</w:t>
            </w:r>
          </w:p>
        </w:tc>
        <w:tc>
          <w:tcPr>
            <w:tcW w:type="dxa" w:w="54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A/B级不少于5条；或总量不少于10条且占比达到20%</w:t>
            </w:r>
          </w:p>
        </w:tc>
      </w:tr>
      <w:tr>
        <w:tc>
          <w:tcPr>
            <w:tcW w:type="dxa" w:w="26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重复发生</w:t>
            </w:r>
          </w:p>
        </w:tc>
        <w:tc>
          <w:tcPr>
            <w:tcW w:type="dxa" w:w="130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普通</w:t>
            </w:r>
          </w:p>
        </w:tc>
        <w:tc>
          <w:tcPr>
            <w:tcW w:type="dxa" w:w="54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同一单位同一二级隐患类别最近3期严格上升</w:t>
            </w:r>
          </w:p>
        </w:tc>
      </w:tr>
      <w:tr>
        <w:tc>
          <w:tcPr>
            <w:tcW w:type="dxa" w:w="26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重复预警刹车</w:t>
            </w:r>
          </w:p>
        </w:tc>
        <w:tc>
          <w:tcPr>
            <w:tcW w:type="dxa" w:w="130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严重</w:t>
            </w:r>
          </w:p>
        </w:tc>
        <w:tc>
          <w:tcPr>
            <w:tcW w:type="dxa" w:w="54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同问题类别连续3期收到刹车，或单位刹车总量连续3期上升</w:t>
            </w:r>
          </w:p>
        </w:tc>
      </w:tr>
      <w:tr>
        <w:tc>
          <w:tcPr>
            <w:tcW w:type="dxa" w:w="26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隐患增多可能未及时预警</w:t>
            </w:r>
          </w:p>
        </w:tc>
        <w:tc>
          <w:tcPr>
            <w:tcW w:type="dxa" w:w="130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严重</w:t>
            </w:r>
          </w:p>
        </w:tc>
        <w:tc>
          <w:tcPr>
            <w:tcW w:type="dxa" w:w="54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二级隐患环比达到50%且增加5条，本期无同类别预警刹车</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3FC"/>
            <w:vAlign w:val="center"/>
            <w:tcMar>
              <w:top w:w="80" w:type="dxa"/>
              <w:start w:w="120" w:type="dxa"/>
              <w:bottom w:w="80" w:type="dxa"/>
              <w:end w:w="120" w:type="dxa"/>
            </w:tcMar>
          </w:tcPr>
          <w:p>
            <w:pPr>
              <w:spacing w:after="40"/>
            </w:pPr>
            <w:r>
              <w:rPr>
                <w:rFonts w:ascii="Calibri" w:hAnsi="Calibri" w:eastAsia="Microsoft YaHei"/>
                <w:b/>
                <w:color w:val="173B63"/>
                <w:sz w:val="20"/>
              </w:rPr>
              <w:t>单位联动限制</w:t>
            </w:r>
          </w:p>
          <w:p>
            <w:pPr>
              <w:spacing w:after="0" w:line="276" w:lineRule="auto"/>
            </w:pPr>
            <w:r>
              <w:rPr>
                <w:rFonts w:ascii="Calibri" w:hAnsi="Calibri" w:eastAsia="Microsoft YaHei"/>
                <w:b w:val="0"/>
                <w:color w:val="202A35"/>
                <w:sz w:val="19"/>
              </w:rPr>
              <w:t>预警问题类别只有与隐患第二级分类清洗后精确同名时才进入趋势清单。未匹配类别保留在证据中，并提示暂不展示趋势。</w:t>
            </w:r>
          </w:p>
        </w:tc>
      </w:tr>
    </w:tbl>
    <w:p>
      <w:pPr>
        <w:spacing w:after="0"/>
      </w:pPr>
    </w:p>
    <w:p>
      <w:pPr>
        <w:pStyle w:val="Heading2"/>
        <w:keepNext/>
      </w:pPr>
      <w:r>
        <w:t>7.2 区域预警规则</w:t>
      </w:r>
    </w:p>
    <w:p>
      <w:r>
        <w:rPr>
          <w:rFonts w:ascii="Calibri" w:hAnsi="Calibri" w:eastAsia="Microsoft YaHei"/>
          <w:b w:val="0"/>
          <w:color w:val="202A35"/>
          <w:sz w:val="21"/>
        </w:rPr>
        <w:t>区域使用“区域”字段中“/”前的区域大类，仅使用隐患数据，暂不联动预警刹车。</w:t>
      </w:r>
    </w:p>
    <w:tbl>
      <w:tblPr>
        <w:tblStyle w:val="TableGrid"/>
        <w:tblW w:type="dxa" w:w="9360"/>
        <w:jc w:val="left"/>
        <w:tblLayout w:type="fixed"/>
        <w:tblLook w:firstColumn="1" w:firstRow="1" w:lastColumn="0" w:lastRow="0" w:noHBand="0" w:noVBand="1" w:val="04A0"/>
        <w:tblInd w:w="120" w:type="dxa"/>
      </w:tblPr>
      <w:tblGrid>
        <w:gridCol w:w="2850"/>
        <w:gridCol w:w="1300"/>
        <w:gridCol w:w="5210"/>
      </w:tblGrid>
      <w:tr>
        <w:trPr>
          <w:tblHeader w:val="true"/>
        </w:trPr>
        <w:tc>
          <w:tcPr>
            <w:tcW w:type="dxa" w:w="2850"/>
            <w:shd w:fill="E8F1FA"/>
            <w:vAlign w:val="center"/>
            <w:tcMar>
              <w:top w:w="80" w:type="dxa"/>
              <w:start w:w="120" w:type="dxa"/>
              <w:bottom w:w="80" w:type="dxa"/>
              <w:end w:w="120" w:type="dxa"/>
            </w:tcMar>
          </w:tcPr>
          <w:p>
            <w:pPr>
              <w:jc w:val="center"/>
            </w:pPr>
            <w:r>
              <w:rPr>
                <w:rFonts w:ascii="Calibri" w:hAnsi="Calibri" w:eastAsia="Microsoft YaHei"/>
                <w:b/>
                <w:color w:val="173B63"/>
                <w:sz w:val="19"/>
              </w:rPr>
              <w:t>规则</w:t>
            </w:r>
          </w:p>
        </w:tc>
        <w:tc>
          <w:tcPr>
            <w:tcW w:type="dxa" w:w="1300"/>
            <w:shd w:fill="E8F1FA"/>
            <w:vAlign w:val="center"/>
            <w:tcMar>
              <w:top w:w="80" w:type="dxa"/>
              <w:start w:w="120" w:type="dxa"/>
              <w:bottom w:w="80" w:type="dxa"/>
              <w:end w:w="120" w:type="dxa"/>
            </w:tcMar>
          </w:tcPr>
          <w:p>
            <w:pPr>
              <w:jc w:val="center"/>
            </w:pPr>
            <w:r>
              <w:rPr>
                <w:rFonts w:ascii="Calibri" w:hAnsi="Calibri" w:eastAsia="Microsoft YaHei"/>
                <w:b/>
                <w:color w:val="173B63"/>
                <w:sz w:val="19"/>
              </w:rPr>
              <w:t>属性</w:t>
            </w:r>
          </w:p>
        </w:tc>
        <w:tc>
          <w:tcPr>
            <w:tcW w:type="dxa" w:w="5210"/>
            <w:shd w:fill="E8F1FA"/>
            <w:vAlign w:val="center"/>
            <w:tcMar>
              <w:top w:w="80" w:type="dxa"/>
              <w:start w:w="120" w:type="dxa"/>
              <w:bottom w:w="80" w:type="dxa"/>
              <w:end w:w="120" w:type="dxa"/>
            </w:tcMar>
          </w:tcPr>
          <w:p>
            <w:pPr>
              <w:jc w:val="center"/>
            </w:pPr>
            <w:r>
              <w:rPr>
                <w:rFonts w:ascii="Calibri" w:hAnsi="Calibri" w:eastAsia="Microsoft YaHei"/>
                <w:b/>
                <w:color w:val="173B63"/>
                <w:sz w:val="19"/>
              </w:rPr>
              <w:t>默认判断条件</w:t>
            </w:r>
          </w:p>
        </w:tc>
      </w:tr>
      <w:tr>
        <w:tc>
          <w:tcPr>
            <w:tcW w:type="dxa" w:w="285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区域历史基线异常</w:t>
            </w:r>
          </w:p>
        </w:tc>
        <w:tc>
          <w:tcPr>
            <w:tcW w:type="dxa" w:w="130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普通</w:t>
            </w:r>
          </w:p>
        </w:tc>
        <w:tc>
          <w:tcPr>
            <w:tcW w:type="dxa" w:w="521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当前较历史窗口均值高30%，且增加不少于5条</w:t>
            </w:r>
          </w:p>
        </w:tc>
      </w:tr>
      <w:tr>
        <w:tc>
          <w:tcPr>
            <w:tcW w:type="dxa" w:w="285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区域连续恶化</w:t>
            </w:r>
          </w:p>
        </w:tc>
        <w:tc>
          <w:tcPr>
            <w:tcW w:type="dxa" w:w="130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普通</w:t>
            </w:r>
          </w:p>
        </w:tc>
        <w:tc>
          <w:tcPr>
            <w:tcW w:type="dxa" w:w="521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区域总量最近3期严格上升，首末增长30%且增加5条</w:t>
            </w:r>
          </w:p>
        </w:tc>
      </w:tr>
      <w:tr>
        <w:tc>
          <w:tcPr>
            <w:tcW w:type="dxa" w:w="285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区域A/B级异常</w:t>
            </w:r>
          </w:p>
        </w:tc>
        <w:tc>
          <w:tcPr>
            <w:tcW w:type="dxa" w:w="130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严重</w:t>
            </w:r>
          </w:p>
        </w:tc>
        <w:tc>
          <w:tcPr>
            <w:tcW w:type="dxa" w:w="521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A/B级不少于5条；或总量不少于10条且占比达到20%</w:t>
            </w:r>
          </w:p>
        </w:tc>
      </w:tr>
      <w:tr>
        <w:tc>
          <w:tcPr>
            <w:tcW w:type="dxa" w:w="285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区域二级隐患连续恶化</w:t>
            </w:r>
          </w:p>
        </w:tc>
        <w:tc>
          <w:tcPr>
            <w:tcW w:type="dxa" w:w="130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普通</w:t>
            </w:r>
          </w:p>
        </w:tc>
        <w:tc>
          <w:tcPr>
            <w:tcW w:type="dxa" w:w="521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同一区域同一二级类别最近3期严格上升，增长30%且增加5条</w:t>
            </w:r>
          </w:p>
        </w:tc>
      </w:tr>
      <w:tr>
        <w:tc>
          <w:tcPr>
            <w:tcW w:type="dxa" w:w="285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区域二级隐患突增</w:t>
            </w:r>
          </w:p>
        </w:tc>
        <w:tc>
          <w:tcPr>
            <w:tcW w:type="dxa" w:w="130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普通</w:t>
            </w:r>
          </w:p>
        </w:tc>
        <w:tc>
          <w:tcPr>
            <w:tcW w:type="dxa" w:w="521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同一区域同一二级类别环比达到50%且增加5条</w:t>
            </w:r>
          </w:p>
        </w:tc>
      </w:tr>
      <w:tr>
        <w:tc>
          <w:tcPr>
            <w:tcW w:type="dxa" w:w="285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区域风险跨单位扩散</w:t>
            </w:r>
          </w:p>
        </w:tc>
        <w:tc>
          <w:tcPr>
            <w:tcW w:type="dxa" w:w="130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严重</w:t>
            </w:r>
          </w:p>
        </w:tc>
        <w:tc>
          <w:tcPr>
            <w:tcW w:type="dxa" w:w="521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本期涉及至少3家责任单位，较上期增加2家，且隐患不少于5条</w:t>
            </w:r>
          </w:p>
        </w:tc>
      </w:tr>
    </w:tbl>
    <w:p>
      <w:pPr>
        <w:spacing w:after="0"/>
      </w:pPr>
    </w:p>
    <w:p>
      <w:pPr>
        <w:pStyle w:val="Heading2"/>
        <w:keepNext/>
      </w:pPr>
      <w:r>
        <w:t>7.3 专项预警规则</w:t>
      </w:r>
    </w:p>
    <w:p>
      <w:r>
        <w:rPr>
          <w:rFonts w:ascii="Calibri" w:hAnsi="Calibri" w:eastAsia="Microsoft YaHei"/>
          <w:b w:val="0"/>
          <w:color w:val="202A35"/>
          <w:sz w:val="21"/>
        </w:rPr>
        <w:t>专项对象采用隐患第二级分类，不使用画像中的前两级路径。专项预警执行历史基线异常、连续恶化和A/B级异常三条独立规则，阈值可在专项页签单独配置。</w:t>
      </w:r>
    </w:p>
    <w:p>
      <w:pPr>
        <w:pStyle w:val="Heading2"/>
        <w:keepNext/>
      </w:pPr>
      <w:r>
        <w:t>7.4 通用边界处理</w:t>
      </w:r>
    </w:p>
    <w:p>
      <w:pPr>
        <w:pStyle w:val="ListBullet"/>
        <w:spacing w:after="80" w:line="300" w:lineRule="auto"/>
        <w:ind w:left="540" w:hanging="271"/>
      </w:pPr>
      <w:r>
        <w:rPr>
          <w:rFonts w:ascii="Calibri" w:hAnsi="Calibri" w:eastAsia="Microsoft YaHei"/>
          <w:b w:val="0"/>
          <w:color w:val="202A35"/>
          <w:sz w:val="21"/>
        </w:rPr>
        <w:t>历史窗口不足时，仅跳过不具备数据条件的规则，不影响其他规则。</w:t>
      </w:r>
    </w:p>
    <w:p>
      <w:pPr>
        <w:pStyle w:val="ListBullet"/>
        <w:spacing w:after="80" w:line="300" w:lineRule="auto"/>
        <w:ind w:left="540" w:hanging="271"/>
      </w:pPr>
      <w:r>
        <w:rPr>
          <w:rFonts w:ascii="Calibri" w:hAnsi="Calibri" w:eastAsia="Microsoft YaHei"/>
          <w:b w:val="0"/>
          <w:color w:val="202A35"/>
          <w:sz w:val="21"/>
        </w:rPr>
        <w:t>基线为0时，当前达到绝对数量门槛可按新增异常触发，不显示无穷百分比。</w:t>
      </w:r>
    </w:p>
    <w:p>
      <w:pPr>
        <w:pStyle w:val="ListBullet"/>
        <w:spacing w:after="80" w:line="300" w:lineRule="auto"/>
        <w:ind w:left="540" w:hanging="271"/>
      </w:pPr>
      <w:r>
        <w:rPr>
          <w:rFonts w:ascii="Calibri" w:hAnsi="Calibri" w:eastAsia="Microsoft YaHei"/>
          <w:b w:val="0"/>
          <w:color w:val="202A35"/>
          <w:sz w:val="21"/>
        </w:rPr>
        <w:t>连续上升必须严格大于；持平、下降或中间断档均不触发。</w:t>
      </w:r>
    </w:p>
    <w:p>
      <w:pPr>
        <w:pStyle w:val="ListBullet"/>
        <w:spacing w:after="80" w:line="300" w:lineRule="auto"/>
        <w:ind w:left="540" w:hanging="271"/>
      </w:pPr>
      <w:r>
        <w:rPr>
          <w:rFonts w:ascii="Calibri" w:hAnsi="Calibri" w:eastAsia="Microsoft YaHei"/>
          <w:b w:val="0"/>
          <w:color w:val="202A35"/>
          <w:sz w:val="21"/>
        </w:rPr>
        <w:t>缺失周期按0补齐，周期按开始日期排序。</w:t>
      </w:r>
    </w:p>
    <w:p>
      <w:pPr>
        <w:pStyle w:val="ListBullet"/>
        <w:spacing w:after="80" w:line="300" w:lineRule="auto"/>
        <w:ind w:left="540" w:hanging="271"/>
      </w:pPr>
      <w:r>
        <w:rPr>
          <w:rFonts w:ascii="Calibri" w:hAnsi="Calibri" w:eastAsia="Microsoft YaHei"/>
          <w:b w:val="0"/>
          <w:color w:val="202A35"/>
          <w:sz w:val="21"/>
        </w:rPr>
        <w:t>规则按每个完整周期滚动重算，用于判断当前是新增还是持续。</w:t>
      </w:r>
    </w:p>
    <w:p>
      <w:r>
        <w:br w:type="page"/>
      </w:r>
    </w:p>
    <w:p>
      <w:pPr>
        <w:pStyle w:val="Heading1"/>
        <w:keepNext/>
      </w:pPr>
      <w:r>
        <w:t>8  预警详情与图表操作</w:t>
      </w:r>
    </w:p>
    <w:p>
      <w:pPr>
        <w:pStyle w:val="Heading2"/>
        <w:keepNext/>
      </w:pPr>
      <w:r>
        <w:t>8.1 单位预警详情</w:t>
      </w:r>
    </w:p>
    <w:p>
      <w:r>
        <w:rPr>
          <w:rFonts w:ascii="Calibri" w:hAnsi="Calibri" w:eastAsia="Microsoft YaHei"/>
          <w:b w:val="0"/>
          <w:color w:val="202A35"/>
          <w:sz w:val="21"/>
        </w:rPr>
        <w:t>点击单位预警卡后打开交互式详情窗口。窗口上方为当前预警说明，中部为单位总体隐患趋势和单个二级隐患类别趋势。</w:t>
      </w:r>
    </w:p>
    <w:p>
      <w:pPr>
        <w:pStyle w:val="ListBullet"/>
        <w:spacing w:after="80" w:line="300" w:lineRule="auto"/>
        <w:ind w:left="540" w:hanging="271"/>
      </w:pPr>
      <w:r>
        <w:rPr>
          <w:rFonts w:ascii="Calibri" w:hAnsi="Calibri" w:eastAsia="Microsoft YaHei"/>
          <w:b w:val="0"/>
          <w:color w:val="202A35"/>
          <w:sz w:val="21"/>
        </w:rPr>
        <w:t>当前预警说明与点击前卡片一致，包含单位、等级、状态、当前周期、涉及类别和全部证据。</w:t>
      </w:r>
    </w:p>
    <w:p>
      <w:pPr>
        <w:pStyle w:val="ListBullet"/>
        <w:spacing w:after="80" w:line="300" w:lineRule="auto"/>
        <w:ind w:left="540" w:hanging="271"/>
      </w:pPr>
      <w:r>
        <w:rPr>
          <w:rFonts w:ascii="Calibri" w:hAnsi="Calibri" w:eastAsia="Microsoft YaHei"/>
          <w:b w:val="0"/>
          <w:color w:val="202A35"/>
          <w:sz w:val="21"/>
        </w:rPr>
        <w:t>二级隐患下拉框显示“类别名称（累计N条）”，顺序按所选时间范围累计数量降序。</w:t>
      </w:r>
    </w:p>
    <w:p>
      <w:pPr>
        <w:pStyle w:val="ListBullet"/>
        <w:spacing w:after="80" w:line="300" w:lineRule="auto"/>
        <w:ind w:left="540" w:hanging="271"/>
      </w:pPr>
      <w:r>
        <w:rPr>
          <w:rFonts w:ascii="Calibri" w:hAnsi="Calibri" w:eastAsia="Microsoft YaHei"/>
          <w:b w:val="0"/>
          <w:color w:val="202A35"/>
          <w:sz w:val="21"/>
        </w:rPr>
        <w:t>默认显示累计数量最高的归因类别；切换类别只更新第二张折线图，不重新执行分析。</w:t>
      </w:r>
    </w:p>
    <w:p>
      <w:pPr>
        <w:pStyle w:val="ListBullet"/>
        <w:spacing w:after="80" w:line="300" w:lineRule="auto"/>
        <w:ind w:left="540" w:hanging="271"/>
      </w:pPr>
      <w:r>
        <w:rPr>
          <w:rFonts w:ascii="Calibri" w:hAnsi="Calibri" w:eastAsia="Microsoft YaHei"/>
          <w:b w:val="0"/>
          <w:color w:val="202A35"/>
          <w:sz w:val="21"/>
        </w:rPr>
        <w:t>A/B级异常证据显示涉及的二级隐患类别及A/B级合计数量。</w:t>
      </w:r>
    </w:p>
    <w:p>
      <w:pPr>
        <w:pStyle w:val="ListBullet"/>
        <w:spacing w:after="80" w:line="300" w:lineRule="auto"/>
        <w:ind w:left="540" w:hanging="271"/>
      </w:pPr>
      <w:r>
        <w:rPr>
          <w:rFonts w:ascii="Calibri" w:hAnsi="Calibri" w:eastAsia="Microsoft YaHei"/>
          <w:b w:val="0"/>
          <w:color w:val="202A35"/>
          <w:sz w:val="21"/>
        </w:rPr>
        <w:t>无可归因类别时，下拉框禁用，并显示“当前预警暂未归因到具体二级隐患类别”。</w:t>
      </w:r>
    </w:p>
    <w:p>
      <w:pPr>
        <w:pStyle w:val="Heading2"/>
        <w:keepNext/>
      </w:pPr>
      <w:r>
        <w:t>8.2 区域和专项详情</w:t>
      </w:r>
    </w:p>
    <w:p>
      <w:r>
        <w:rPr>
          <w:rFonts w:ascii="Calibri" w:hAnsi="Calibri" w:eastAsia="Microsoft YaHei"/>
          <w:b w:val="0"/>
          <w:color w:val="202A35"/>
          <w:sz w:val="21"/>
        </w:rPr>
        <w:t>点击区域或专项预警卡后，系统展示该对象在当前时间范围内的总体趋势及规则触发信息。区域预警证据会列出相关二级类别、逐期数量或涉及单位情况。</w:t>
      </w:r>
    </w:p>
    <w:p>
      <w:pPr>
        <w:pStyle w:val="Heading2"/>
        <w:keepNext/>
      </w:pPr>
      <w:r>
        <w:t>8.3 图表工具栏</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E8F1FA"/>
            <w:vAlign w:val="center"/>
            <w:tcMar>
              <w:top w:w="80" w:type="dxa"/>
              <w:start w:w="120" w:type="dxa"/>
              <w:bottom w:w="80" w:type="dxa"/>
              <w:end w:w="120" w:type="dxa"/>
            </w:tcMar>
          </w:tcPr>
          <w:p>
            <w:pPr>
              <w:jc w:val="center"/>
            </w:pPr>
            <w:r>
              <w:rPr>
                <w:rFonts w:ascii="Calibri" w:hAnsi="Calibri" w:eastAsia="Microsoft YaHei"/>
                <w:b/>
                <w:color w:val="173B63"/>
                <w:sz w:val="19"/>
              </w:rPr>
              <w:t>工具</w:t>
            </w:r>
          </w:p>
        </w:tc>
        <w:tc>
          <w:tcPr>
            <w:tcW w:type="dxa" w:w="7060"/>
            <w:shd w:fill="E8F1FA"/>
            <w:vAlign w:val="center"/>
            <w:tcMar>
              <w:top w:w="80" w:type="dxa"/>
              <w:start w:w="120" w:type="dxa"/>
              <w:bottom w:w="80" w:type="dxa"/>
              <w:end w:w="120" w:type="dxa"/>
            </w:tcMar>
          </w:tcPr>
          <w:p>
            <w:pPr>
              <w:jc w:val="center"/>
            </w:pPr>
            <w:r>
              <w:rPr>
                <w:rFonts w:ascii="Calibri" w:hAnsi="Calibri" w:eastAsia="Microsoft YaHei"/>
                <w:b/>
                <w:color w:val="173B63"/>
                <w:sz w:val="19"/>
              </w:rPr>
              <w:t>用途</w:t>
            </w:r>
          </w:p>
        </w:tc>
      </w:tr>
      <w:tr>
        <w:tc>
          <w:tcPr>
            <w:tcW w:type="dxa" w:w="23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主页</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恢复图表初始视图</w:t>
            </w:r>
          </w:p>
        </w:tc>
      </w:tr>
      <w:tr>
        <w:tc>
          <w:tcPr>
            <w:tcW w:type="dxa" w:w="23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后退/前进</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在缩放和平移历史之间切换</w:t>
            </w:r>
          </w:p>
        </w:tc>
      </w:tr>
      <w:tr>
        <w:tc>
          <w:tcPr>
            <w:tcW w:type="dxa" w:w="23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平移</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拖动查看局部区域</w:t>
            </w:r>
          </w:p>
        </w:tc>
      </w:tr>
      <w:tr>
        <w:tc>
          <w:tcPr>
            <w:tcW w:type="dxa" w:w="23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缩放</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框选放大图表局部</w:t>
            </w:r>
          </w:p>
        </w:tc>
      </w:tr>
      <w:tr>
        <w:tc>
          <w:tcPr>
            <w:tcW w:type="dxa" w:w="23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参数</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调整子图显示参数</w:t>
            </w:r>
          </w:p>
        </w:tc>
      </w:tr>
      <w:tr>
        <w:tc>
          <w:tcPr>
            <w:tcW w:type="dxa" w:w="230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保存</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将当前图表保存为图片</w:t>
            </w:r>
          </w:p>
        </w:tc>
      </w:tr>
    </w:tbl>
    <w:p>
      <w:pPr>
        <w:spacing w:after="0"/>
      </w:pPr>
    </w:p>
    <w:p>
      <w:pPr>
        <w:pStyle w:val="Heading1"/>
        <w:keepNext/>
      </w:pPr>
      <w:r>
        <w:t>9  配置、日志与数据安全</w:t>
      </w:r>
    </w:p>
    <w:p>
      <w:pPr>
        <w:pStyle w:val="Heading2"/>
        <w:keepNext/>
      </w:pPr>
      <w:r>
        <w:t>9.1 规则配置</w:t>
      </w:r>
    </w:p>
    <w:p>
      <w:r>
        <w:rPr>
          <w:rFonts w:ascii="Calibri" w:hAnsi="Calibri" w:eastAsia="Microsoft YaHei"/>
          <w:b w:val="0"/>
          <w:color w:val="202A35"/>
          <w:sz w:val="21"/>
        </w:rPr>
        <w:t>exe版本的规则配置保存在%LOCALAPPDATA%\HSE数据分析平台\config\risk_rules.json。首次运行会从程序内置v5配置初始化，之后修改均保存在用户本地目录。</w:t>
      </w:r>
    </w:p>
    <w:p>
      <w:pPr>
        <w:pStyle w:val="Heading2"/>
        <w:keepNext/>
      </w:pPr>
      <w:r>
        <w:t>9.2 运行日志</w:t>
      </w:r>
    </w:p>
    <w:p>
      <w:pPr>
        <w:pStyle w:val="ListBullet"/>
        <w:spacing w:after="80" w:line="300" w:lineRule="auto"/>
        <w:ind w:left="540" w:hanging="271"/>
      </w:pPr>
      <w:r>
        <w:rPr>
          <w:rFonts w:ascii="Calibri" w:hAnsi="Calibri" w:eastAsia="Microsoft YaHei"/>
          <w:b w:val="0"/>
          <w:color w:val="202A35"/>
          <w:sz w:val="21"/>
        </w:rPr>
        <w:t>主界面运行日志显示文件加载、模块切换、图表生成和规则保存等操作。</w:t>
      </w:r>
    </w:p>
    <w:p>
      <w:pPr>
        <w:pStyle w:val="ListBullet"/>
        <w:spacing w:after="80" w:line="300" w:lineRule="auto"/>
        <w:ind w:left="540" w:hanging="271"/>
      </w:pPr>
      <w:r>
        <w:rPr>
          <w:rFonts w:ascii="Calibri" w:hAnsi="Calibri" w:eastAsia="Microsoft YaHei"/>
          <w:b w:val="0"/>
          <w:color w:val="202A35"/>
          <w:sz w:val="21"/>
        </w:rPr>
        <w:t>程序错误日志默认写入logs\hse_analyzer.log，单个文件最大2MB，最多保留3个备份。</w:t>
      </w:r>
    </w:p>
    <w:p>
      <w:pPr>
        <w:pStyle w:val="ListBullet"/>
        <w:spacing w:after="80" w:line="300" w:lineRule="auto"/>
        <w:ind w:left="540" w:hanging="271"/>
      </w:pPr>
      <w:r>
        <w:rPr>
          <w:rFonts w:ascii="Calibri" w:hAnsi="Calibri" w:eastAsia="Microsoft YaHei"/>
          <w:b w:val="0"/>
          <w:color w:val="202A35"/>
          <w:sz w:val="21"/>
        </w:rPr>
        <w:t>发生异常时，请记录操作步骤、时间、文件名称和错误提示，并连同日志交给维护人员。</w:t>
      </w:r>
    </w:p>
    <w:p>
      <w:pPr>
        <w:pStyle w:val="Heading2"/>
        <w:keepNext/>
      </w:pPr>
      <w:r>
        <w:t>9.3 数据安全建议</w:t>
      </w:r>
    </w:p>
    <w:p>
      <w:pPr>
        <w:pStyle w:val="ListBullet"/>
        <w:spacing w:after="80" w:line="300" w:lineRule="auto"/>
        <w:ind w:left="540" w:hanging="271"/>
      </w:pPr>
      <w:r>
        <w:rPr>
          <w:rFonts w:ascii="Calibri" w:hAnsi="Calibri" w:eastAsia="Microsoft YaHei"/>
          <w:b w:val="0"/>
          <w:color w:val="202A35"/>
          <w:sz w:val="21"/>
        </w:rPr>
        <w:t>系统为本地桌面工具，不主动上传业务Excel；请按单位数据安全要求保存源文件和分析结果。</w:t>
      </w:r>
    </w:p>
    <w:p>
      <w:pPr>
        <w:pStyle w:val="ListBullet"/>
        <w:spacing w:after="80" w:line="300" w:lineRule="auto"/>
        <w:ind w:left="540" w:hanging="271"/>
      </w:pPr>
      <w:r>
        <w:rPr>
          <w:rFonts w:ascii="Calibri" w:hAnsi="Calibri" w:eastAsia="Microsoft YaHei"/>
          <w:b w:val="0"/>
          <w:color w:val="202A35"/>
          <w:sz w:val="21"/>
        </w:rPr>
        <w:t>不要将含敏感信息的源数据、截图或导出图表发送给无权限人员。</w:t>
      </w:r>
    </w:p>
    <w:p>
      <w:pPr>
        <w:pStyle w:val="ListBullet"/>
        <w:spacing w:after="80" w:line="300" w:lineRule="auto"/>
        <w:ind w:left="540" w:hanging="271"/>
      </w:pPr>
      <w:r>
        <w:rPr>
          <w:rFonts w:ascii="Calibri" w:hAnsi="Calibri" w:eastAsia="Microsoft YaHei"/>
          <w:b w:val="0"/>
          <w:color w:val="202A35"/>
          <w:sz w:val="21"/>
        </w:rPr>
        <w:t>发布新exe前应完成自动化测试、启动验证和SHA256校验。</w:t>
      </w:r>
    </w:p>
    <w:p>
      <w:pPr>
        <w:pStyle w:val="ListBullet"/>
        <w:spacing w:after="80" w:line="300" w:lineRule="auto"/>
        <w:ind w:left="540" w:hanging="271"/>
      </w:pPr>
      <w:r>
        <w:rPr>
          <w:rFonts w:ascii="Calibri" w:hAnsi="Calibri" w:eastAsia="Microsoft YaHei"/>
          <w:b w:val="0"/>
          <w:color w:val="202A35"/>
          <w:sz w:val="21"/>
        </w:rPr>
        <w:t>定期备份规则配置文件；如配置损坏，系统会回退默认值并记录错误。</w:t>
      </w:r>
    </w:p>
    <w:p>
      <w:r>
        <w:br w:type="page"/>
      </w:r>
    </w:p>
    <w:p>
      <w:pPr>
        <w:pStyle w:val="Heading1"/>
        <w:keepNext/>
      </w:pPr>
      <w:r>
        <w:t>10  常见问题处理</w:t>
      </w:r>
    </w:p>
    <w:tbl>
      <w:tblPr>
        <w:tblStyle w:val="TableGrid"/>
        <w:tblW w:type="dxa" w:w="9360"/>
        <w:jc w:val="left"/>
        <w:tblLayout w:type="fixed"/>
        <w:tblLook w:firstColumn="1" w:firstRow="1" w:lastColumn="0" w:lastRow="0" w:noHBand="0" w:noVBand="1" w:val="04A0"/>
        <w:tblInd w:w="120" w:type="dxa"/>
      </w:tblPr>
      <w:tblGrid>
        <w:gridCol w:w="2450"/>
        <w:gridCol w:w="3050"/>
        <w:gridCol w:w="3860"/>
      </w:tblGrid>
      <w:tr>
        <w:trPr>
          <w:tblHeader w:val="true"/>
        </w:trPr>
        <w:tc>
          <w:tcPr>
            <w:tcW w:type="dxa" w:w="2450"/>
            <w:shd w:fill="E8F1FA"/>
            <w:vAlign w:val="center"/>
            <w:tcMar>
              <w:top w:w="80" w:type="dxa"/>
              <w:start w:w="120" w:type="dxa"/>
              <w:bottom w:w="80" w:type="dxa"/>
              <w:end w:w="120" w:type="dxa"/>
            </w:tcMar>
          </w:tcPr>
          <w:p>
            <w:pPr>
              <w:jc w:val="center"/>
            </w:pPr>
            <w:r>
              <w:rPr>
                <w:rFonts w:ascii="Calibri" w:hAnsi="Calibri" w:eastAsia="Microsoft YaHei"/>
                <w:b/>
                <w:color w:val="173B63"/>
                <w:sz w:val="19"/>
              </w:rPr>
              <w:t>现象</w:t>
            </w:r>
          </w:p>
        </w:tc>
        <w:tc>
          <w:tcPr>
            <w:tcW w:type="dxa" w:w="3050"/>
            <w:shd w:fill="E8F1FA"/>
            <w:vAlign w:val="center"/>
            <w:tcMar>
              <w:top w:w="80" w:type="dxa"/>
              <w:start w:w="120" w:type="dxa"/>
              <w:bottom w:w="80" w:type="dxa"/>
              <w:end w:w="120" w:type="dxa"/>
            </w:tcMar>
          </w:tcPr>
          <w:p>
            <w:pPr>
              <w:jc w:val="center"/>
            </w:pPr>
            <w:r>
              <w:rPr>
                <w:rFonts w:ascii="Calibri" w:hAnsi="Calibri" w:eastAsia="Microsoft YaHei"/>
                <w:b/>
                <w:color w:val="173B63"/>
                <w:sz w:val="19"/>
              </w:rPr>
              <w:t>可能原因</w:t>
            </w:r>
          </w:p>
        </w:tc>
        <w:tc>
          <w:tcPr>
            <w:tcW w:type="dxa" w:w="3860"/>
            <w:shd w:fill="E8F1FA"/>
            <w:vAlign w:val="center"/>
            <w:tcMar>
              <w:top w:w="80" w:type="dxa"/>
              <w:start w:w="120" w:type="dxa"/>
              <w:bottom w:w="80" w:type="dxa"/>
              <w:end w:w="120" w:type="dxa"/>
            </w:tcMar>
          </w:tcPr>
          <w:p>
            <w:pPr>
              <w:jc w:val="center"/>
            </w:pPr>
            <w:r>
              <w:rPr>
                <w:rFonts w:ascii="Calibri" w:hAnsi="Calibri" w:eastAsia="Microsoft YaHei"/>
                <w:b/>
                <w:color w:val="173B63"/>
                <w:sz w:val="19"/>
              </w:rPr>
              <w:t>处理方法</w:t>
            </w:r>
          </w:p>
        </w:tc>
      </w:tr>
      <w:tr>
        <w:tc>
          <w:tcPr>
            <w:tcW w:type="dxa" w:w="245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添加文件后没有分析结果</w:t>
            </w:r>
          </w:p>
        </w:tc>
        <w:tc>
          <w:tcPr>
            <w:tcW w:type="dxa" w:w="305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尚未点击加载数据，或文件状态识别失败</w:t>
            </w:r>
          </w:p>
        </w:tc>
        <w:tc>
          <w:tcPr>
            <w:tcW w:type="dxa" w:w="38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确认文件状态并重新加载，查看运行日志</w:t>
            </w:r>
          </w:p>
        </w:tc>
      </w:tr>
      <w:tr>
        <w:tc>
          <w:tcPr>
            <w:tcW w:type="dxa" w:w="245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部分记录未统计</w:t>
            </w:r>
          </w:p>
        </w:tc>
        <w:tc>
          <w:tcPr>
            <w:tcW w:type="dxa" w:w="305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日期无效、状态或流程不符合公共筛选规则</w:t>
            </w:r>
          </w:p>
        </w:tc>
        <w:tc>
          <w:tcPr>
            <w:tcW w:type="dxa" w:w="38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核对检查日期、状态和流程类型</w:t>
            </w:r>
          </w:p>
        </w:tc>
      </w:tr>
      <w:tr>
        <w:tc>
          <w:tcPr>
            <w:tcW w:type="dxa" w:w="245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预警刹车文件识别失败</w:t>
            </w:r>
          </w:p>
        </w:tc>
        <w:tc>
          <w:tcPr>
            <w:tcW w:type="dxa" w:w="305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前10行无编号表头，类型特征不足</w:t>
            </w:r>
          </w:p>
        </w:tc>
        <w:tc>
          <w:tcPr>
            <w:tcW w:type="dxa" w:w="38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核对表头、Sheet、文件名和编号前缀</w:t>
            </w:r>
          </w:p>
        </w:tc>
      </w:tr>
      <w:tr>
        <w:tc>
          <w:tcPr>
            <w:tcW w:type="dxa" w:w="245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综合分析时间不可选</w:t>
            </w:r>
          </w:p>
        </w:tc>
        <w:tc>
          <w:tcPr>
            <w:tcW w:type="dxa" w:w="305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两个模块均未加载有效数据</w:t>
            </w:r>
          </w:p>
        </w:tc>
        <w:tc>
          <w:tcPr>
            <w:tcW w:type="dxa" w:w="38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至少加载一类数据后重新进入综合分析</w:t>
            </w:r>
          </w:p>
        </w:tc>
      </w:tr>
      <w:tr>
        <w:tc>
          <w:tcPr>
            <w:tcW w:type="dxa" w:w="245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阈值调低仍无预警</w:t>
            </w:r>
          </w:p>
        </w:tc>
        <w:tc>
          <w:tcPr>
            <w:tcW w:type="dxa" w:w="305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没有足够完整周期，或绝对增量等其他条件未满足</w:t>
            </w:r>
          </w:p>
        </w:tc>
        <w:tc>
          <w:tcPr>
            <w:tcW w:type="dxa" w:w="38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查看顶部完整周期提示及规则说明</w:t>
            </w:r>
          </w:p>
        </w:tc>
      </w:tr>
      <w:tr>
        <w:tc>
          <w:tcPr>
            <w:tcW w:type="dxa" w:w="245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区域跨单位扩散不触发</w:t>
            </w:r>
          </w:p>
        </w:tc>
        <w:tc>
          <w:tcPr>
            <w:tcW w:type="dxa" w:w="305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单位数、单位增量或隐患数量任一不足</w:t>
            </w:r>
          </w:p>
        </w:tc>
        <w:tc>
          <w:tcPr>
            <w:tcW w:type="dxa" w:w="38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核对三项门槛和责任单位字段</w:t>
            </w:r>
          </w:p>
        </w:tc>
      </w:tr>
      <w:tr>
        <w:tc>
          <w:tcPr>
            <w:tcW w:type="dxa" w:w="245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单位详情无二级类别</w:t>
            </w:r>
          </w:p>
        </w:tc>
        <w:tc>
          <w:tcPr>
            <w:tcW w:type="dxa" w:w="305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证据无法归因，或刹车类别未精确匹配隐患二级分类</w:t>
            </w:r>
          </w:p>
        </w:tc>
        <w:tc>
          <w:tcPr>
            <w:tcW w:type="dxa" w:w="38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查看证据中的未匹配提示</w:t>
            </w:r>
          </w:p>
        </w:tc>
      </w:tr>
      <w:tr>
        <w:tc>
          <w:tcPr>
            <w:tcW w:type="dxa" w:w="245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规则重启后恢复</w:t>
            </w:r>
          </w:p>
        </w:tc>
        <w:tc>
          <w:tcPr>
            <w:tcW w:type="dxa" w:w="305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配置目录不可写或配置文件损坏</w:t>
            </w:r>
          </w:p>
        </w:tc>
        <w:tc>
          <w:tcPr>
            <w:tcW w:type="dxa" w:w="38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检查%LOCALAPPDATA%下配置及错误日志</w:t>
            </w:r>
          </w:p>
        </w:tc>
      </w:tr>
      <w:tr>
        <w:tc>
          <w:tcPr>
            <w:tcW w:type="dxa" w:w="2450"/>
            <w:vAlign w:val="center"/>
            <w:tcMar>
              <w:top w:w="80" w:type="dxa"/>
              <w:start w:w="120" w:type="dxa"/>
              <w:bottom w:w="80" w:type="dxa"/>
              <w:end w:w="120" w:type="dxa"/>
            </w:tcMar>
          </w:tcPr>
          <w:p>
            <w:pPr>
              <w:spacing w:after="0" w:line="276" w:lineRule="auto"/>
              <w:jc w:val="center"/>
            </w:pPr>
            <w:r>
              <w:rPr>
                <w:rFonts w:ascii="Calibri" w:hAnsi="Calibri" w:eastAsia="Microsoft YaHei"/>
                <w:b w:val="0"/>
                <w:color w:val="202A35"/>
                <w:sz w:val="18"/>
              </w:rPr>
              <w:t>界面暂时无响应</w:t>
            </w:r>
          </w:p>
        </w:tc>
        <w:tc>
          <w:tcPr>
            <w:tcW w:type="dxa" w:w="305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正在读取较大Excel或生成复杂图表</w:t>
            </w:r>
          </w:p>
        </w:tc>
        <w:tc>
          <w:tcPr>
            <w:tcW w:type="dxa" w:w="3860"/>
            <w:vAlign w:val="center"/>
            <w:tcMar>
              <w:top w:w="80" w:type="dxa"/>
              <w:start w:w="120" w:type="dxa"/>
              <w:bottom w:w="80" w:type="dxa"/>
              <w:end w:w="120" w:type="dxa"/>
            </w:tcMar>
          </w:tcPr>
          <w:p>
            <w:pPr>
              <w:spacing w:after="0" w:line="276" w:lineRule="auto"/>
              <w:jc w:val="left"/>
            </w:pPr>
            <w:r>
              <w:rPr>
                <w:rFonts w:ascii="Calibri" w:hAnsi="Calibri" w:eastAsia="Microsoft YaHei"/>
                <w:b w:val="0"/>
                <w:color w:val="202A35"/>
                <w:sz w:val="18"/>
              </w:rPr>
              <w:t>等待后台任务结束，避免重复点击</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0EE"/>
            <w:vAlign w:val="center"/>
            <w:tcMar>
              <w:top w:w="80" w:type="dxa"/>
              <w:start w:w="120" w:type="dxa"/>
              <w:bottom w:w="80" w:type="dxa"/>
              <w:end w:w="120" w:type="dxa"/>
            </w:tcMar>
          </w:tcPr>
          <w:p>
            <w:pPr>
              <w:spacing w:after="40"/>
            </w:pPr>
            <w:r>
              <w:rPr>
                <w:rFonts w:ascii="Calibri" w:hAnsi="Calibri" w:eastAsia="Microsoft YaHei"/>
                <w:b/>
                <w:color w:val="B42318"/>
                <w:sz w:val="20"/>
              </w:rPr>
              <w:t>故障升级信息</w:t>
            </w:r>
          </w:p>
          <w:p>
            <w:pPr>
              <w:spacing w:after="0" w:line="276" w:lineRule="auto"/>
            </w:pPr>
            <w:r>
              <w:rPr>
                <w:rFonts w:ascii="Calibri" w:hAnsi="Calibri" w:eastAsia="Microsoft YaHei"/>
                <w:b w:val="0"/>
                <w:color w:val="202A35"/>
                <w:sz w:val="19"/>
              </w:rPr>
              <w:t>提交问题时请同时提供：软件版本、发生时间、操作步骤、数据字段清单、界面提示、错误日志。业务数据可先脱敏。</w:t>
            </w:r>
          </w:p>
        </w:tc>
      </w:tr>
    </w:tbl>
    <w:p>
      <w:pPr>
        <w:spacing w:after="0"/>
      </w:pPr>
    </w:p>
    <w:p>
      <w:pPr>
        <w:pStyle w:val="Heading1"/>
        <w:keepNext/>
      </w:pPr>
      <w:r>
        <w:t>附录A  日常操作检查表</w:t>
      </w:r>
    </w:p>
    <w:p>
      <w:pPr>
        <w:pStyle w:val="Heading2"/>
        <w:keepNext/>
      </w:pPr>
      <w:r>
        <w:t>A.1 分析前</w:t>
      </w:r>
    </w:p>
    <w:p>
      <w:pPr>
        <w:pStyle w:val="ListBullet"/>
        <w:spacing w:after="80" w:line="300" w:lineRule="auto"/>
        <w:ind w:left="540" w:hanging="271"/>
      </w:pPr>
      <w:r>
        <w:rPr>
          <w:rFonts w:ascii="Calibri" w:hAnsi="Calibri" w:eastAsia="Microsoft YaHei"/>
          <w:b w:val="0"/>
          <w:color w:val="202A35"/>
          <w:sz w:val="21"/>
        </w:rPr>
        <w:t>确认Excel字段名称、日期格式和状态取值符合要求。</w:t>
      </w:r>
    </w:p>
    <w:p>
      <w:pPr>
        <w:pStyle w:val="ListBullet"/>
        <w:spacing w:after="80" w:line="300" w:lineRule="auto"/>
        <w:ind w:left="540" w:hanging="271"/>
      </w:pPr>
      <w:r>
        <w:rPr>
          <w:rFonts w:ascii="Calibri" w:hAnsi="Calibri" w:eastAsia="Microsoft YaHei"/>
          <w:b w:val="0"/>
          <w:color w:val="202A35"/>
          <w:sz w:val="21"/>
        </w:rPr>
        <w:t>确认没有重复上传同一路径文件。</w:t>
      </w:r>
    </w:p>
    <w:p>
      <w:pPr>
        <w:pStyle w:val="ListBullet"/>
        <w:spacing w:after="80" w:line="300" w:lineRule="auto"/>
        <w:ind w:left="540" w:hanging="271"/>
      </w:pPr>
      <w:r>
        <w:rPr>
          <w:rFonts w:ascii="Calibri" w:hAnsi="Calibri" w:eastAsia="Microsoft YaHei"/>
          <w:b w:val="0"/>
          <w:color w:val="202A35"/>
          <w:sz w:val="21"/>
        </w:rPr>
        <w:t>确认隐患和预警刹车数据所属时间范围。</w:t>
      </w:r>
    </w:p>
    <w:p>
      <w:pPr>
        <w:pStyle w:val="ListBullet"/>
        <w:spacing w:after="80" w:line="300" w:lineRule="auto"/>
        <w:ind w:left="540" w:hanging="271"/>
      </w:pPr>
      <w:r>
        <w:rPr>
          <w:rFonts w:ascii="Calibri" w:hAnsi="Calibri" w:eastAsia="Microsoft YaHei"/>
          <w:b w:val="0"/>
          <w:color w:val="202A35"/>
          <w:sz w:val="21"/>
        </w:rPr>
        <w:t>确认规则配置和统计周期符合本次分析目的。</w:t>
      </w:r>
    </w:p>
    <w:p>
      <w:pPr>
        <w:pStyle w:val="Heading2"/>
        <w:keepNext/>
      </w:pPr>
      <w:r>
        <w:t>A.2 分析中</w:t>
      </w:r>
    </w:p>
    <w:p>
      <w:pPr>
        <w:pStyle w:val="ListBullet"/>
        <w:spacing w:after="80" w:line="300" w:lineRule="auto"/>
        <w:ind w:left="540" w:hanging="271"/>
      </w:pPr>
      <w:r>
        <w:rPr>
          <w:rFonts w:ascii="Calibri" w:hAnsi="Calibri" w:eastAsia="Microsoft YaHei"/>
          <w:b w:val="0"/>
          <w:color w:val="202A35"/>
          <w:sz w:val="21"/>
        </w:rPr>
        <w:t>先加载数据，再点击分析卡片。</w:t>
      </w:r>
    </w:p>
    <w:p>
      <w:pPr>
        <w:pStyle w:val="ListBullet"/>
        <w:spacing w:after="80" w:line="300" w:lineRule="auto"/>
        <w:ind w:left="540" w:hanging="271"/>
      </w:pPr>
      <w:r>
        <w:rPr>
          <w:rFonts w:ascii="Calibri" w:hAnsi="Calibri" w:eastAsia="Microsoft YaHei"/>
          <w:b w:val="0"/>
          <w:color w:val="202A35"/>
          <w:sz w:val="21"/>
        </w:rPr>
        <w:t>综合分析先选时间段，再选统计周期。</w:t>
      </w:r>
    </w:p>
    <w:p>
      <w:pPr>
        <w:pStyle w:val="ListBullet"/>
        <w:spacing w:after="80" w:line="300" w:lineRule="auto"/>
        <w:ind w:left="540" w:hanging="271"/>
      </w:pPr>
      <w:r>
        <w:rPr>
          <w:rFonts w:ascii="Calibri" w:hAnsi="Calibri" w:eastAsia="Microsoft YaHei"/>
          <w:b w:val="0"/>
          <w:color w:val="202A35"/>
          <w:sz w:val="21"/>
        </w:rPr>
        <w:t>区分总体大屏的全部周期与预警规则的完整周期。</w:t>
      </w:r>
    </w:p>
    <w:p>
      <w:pPr>
        <w:pStyle w:val="ListBullet"/>
        <w:spacing w:after="80" w:line="300" w:lineRule="auto"/>
        <w:ind w:left="540" w:hanging="271"/>
      </w:pPr>
      <w:r>
        <w:rPr>
          <w:rFonts w:ascii="Calibri" w:hAnsi="Calibri" w:eastAsia="Microsoft YaHei"/>
          <w:b w:val="0"/>
          <w:color w:val="202A35"/>
          <w:sz w:val="21"/>
        </w:rPr>
        <w:t>查看预警证据，不只依据颜色作出业务结论。</w:t>
      </w:r>
    </w:p>
    <w:p>
      <w:pPr>
        <w:pStyle w:val="Heading2"/>
        <w:keepNext/>
      </w:pPr>
      <w:r>
        <w:t>A.3 分析后</w:t>
      </w:r>
    </w:p>
    <w:p>
      <w:pPr>
        <w:pStyle w:val="ListBullet"/>
        <w:spacing w:after="80" w:line="300" w:lineRule="auto"/>
        <w:ind w:left="540" w:hanging="271"/>
      </w:pPr>
      <w:r>
        <w:rPr>
          <w:rFonts w:ascii="Calibri" w:hAnsi="Calibri" w:eastAsia="Microsoft YaHei"/>
          <w:b w:val="0"/>
          <w:color w:val="202A35"/>
          <w:sz w:val="21"/>
        </w:rPr>
        <w:t>核对图表总量与源数据筛选口径。</w:t>
      </w:r>
    </w:p>
    <w:p>
      <w:pPr>
        <w:pStyle w:val="ListBullet"/>
        <w:spacing w:after="80" w:line="300" w:lineRule="auto"/>
        <w:ind w:left="540" w:hanging="271"/>
      </w:pPr>
      <w:r>
        <w:rPr>
          <w:rFonts w:ascii="Calibri" w:hAnsi="Calibri" w:eastAsia="Microsoft YaHei"/>
          <w:b w:val="0"/>
          <w:color w:val="202A35"/>
          <w:sz w:val="21"/>
        </w:rPr>
        <w:t>保存必要图表并记录所用时间范围、统计周期和规则版本。</w:t>
      </w:r>
    </w:p>
    <w:p>
      <w:pPr>
        <w:pStyle w:val="ListBullet"/>
        <w:spacing w:after="80" w:line="300" w:lineRule="auto"/>
        <w:ind w:left="540" w:hanging="271"/>
      </w:pPr>
      <w:r>
        <w:rPr>
          <w:rFonts w:ascii="Calibri" w:hAnsi="Calibri" w:eastAsia="Microsoft YaHei"/>
          <w:b w:val="0"/>
          <w:color w:val="202A35"/>
          <w:sz w:val="21"/>
        </w:rPr>
        <w:t>对红色、橙色预警结合现场情况复核。</w:t>
      </w:r>
    </w:p>
    <w:p>
      <w:pPr>
        <w:pStyle w:val="ListBullet"/>
        <w:spacing w:after="80" w:line="300" w:lineRule="auto"/>
        <w:ind w:left="540" w:hanging="271"/>
      </w:pPr>
      <w:r>
        <w:rPr>
          <w:rFonts w:ascii="Calibri" w:hAnsi="Calibri" w:eastAsia="Microsoft YaHei"/>
          <w:b w:val="0"/>
          <w:color w:val="202A35"/>
          <w:sz w:val="21"/>
        </w:rPr>
        <w:t>必要时备份规则配置和错误日志。</w:t>
      </w:r>
    </w:p>
    <w:sectPr w:rsidR="00FC693F" w:rsidRPr="0006063C" w:rsidSect="00034616">
      <w:headerReference w:type="default" r:id="rId9"/>
      <w:footerReference w:type="default" r:id="rId10"/>
      <w:pgSz w:w="12240" w:h="15840"/>
      <w:pgMar w:top="1152"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color w:val="61758A"/>
        <w:sz w:val="17"/>
      </w:rPr>
      <w:t xml:space="preserve">第 </w:t>
    </w:r>
    <w:fldSimple w:instr="PAGE"/>
    <w:r>
      <w:rPr>
        <w:rFonts w:ascii="Calibri" w:hAnsi="Calibri" w:eastAsia="Microsoft YaHei"/>
        <w:b w:val="0"/>
        <w:color w:val="61758A"/>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val="0"/>
        <w:color w:val="61758A"/>
        <w:sz w:val="17"/>
      </w:rPr>
      <w:t>HSE数据分析平台  |  功能说明及操作手册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icrosoft YaHei"/>
      <w:color w:val="202A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0967B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0967B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73B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HSE数据分析平台功能说明及操作手册</dc:title>
  <dc:subject>系统功能说明、操作流程和综合预警规则</dc:subject>
  <dc:creator>HSE数据分析平台项目组</dc:creator>
  <cp:keywords>HSE, 隐患分析, 预警刹车, 综合分析, 操作手册</cp:keywords>
  <dc:description>适用于规则配置Schema v5</dc:description>
  <cp:lastModifiedBy/>
  <cp:revision>1</cp:revision>
  <dcterms:created xsi:type="dcterms:W3CDTF">2013-12-23T23:15:00Z</dcterms:created>
  <dcterms:modified xsi:type="dcterms:W3CDTF">2013-12-23T23:15:00Z</dcterms:modified>
  <cp:category/>
</cp:coreProperties>
</file>