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5276"/>
          <w:sz w:val="56"/>
          <w:szCs w:val="56"/>
        </w:rPr>
        <w:t xml:space="preserve">高视星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1C2833"/>
          <w:sz w:val="32"/>
          <w:szCs w:val="32"/>
        </w:rPr>
        <w:t xml:space="preserve">市场材料品牌升级执行方案</w:t>
      </w:r>
    </w:p>
    <w:p>
      <w:pPr>
        <w:pBdr>
          <w:top w:val="single" w:color="1A5276" w:sz="6" w:space="8"/>
        </w:pBdr>
        <w:spacing w:after="600" w:before="200"/>
        <w:jc w:val="center"/>
      </w:pPr>
      <w:r>
        <w:rPr>
          <w:rFonts w:ascii="Microsoft YaHei" w:cs="Microsoft YaHei" w:eastAsia="Microsoft YaHei" w:hAnsi="Microsoft YaHei"/>
          <w:color w:val="5D6D7E"/>
          <w:sz w:val="24"/>
          <w:szCs w:val="24"/>
        </w:rPr>
        <w:t xml:space="preserve">30天落地计划  |  市场助理执行手册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C2833"/>
                <w:sz w:val="20"/>
                <w:szCs w:val="20"/>
              </w:rPr>
              <w:t xml:space="preserve">发布日期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2026年4月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C2833"/>
                <w:sz w:val="20"/>
                <w:szCs w:val="20"/>
              </w:rPr>
              <w:t xml:space="preserve">适用对象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市场助理、设计外包方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C2833"/>
                <w:sz w:val="20"/>
                <w:szCs w:val="20"/>
              </w:rPr>
              <w:t xml:space="preserve">配套文档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《高视星 Brand Kit V1.0》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C2833"/>
                <w:sz w:val="20"/>
                <w:szCs w:val="20"/>
              </w:rPr>
              <w:t xml:space="preserve">审批人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Clark Wang / CEO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一、背景与目标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当前问题：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市场材料制作过程中，品牌调性、字体、配色、版式缺乏统一标准，每次从零开始，沟通成本高、产出质量不稳定。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30天目标：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建立品牌中间层（色彩、字体、版式、模版），让 70% 的元素固定、 30% 的空间留给创意，实现“一致但不单调”。</w:t>
      </w:r>
    </w:p>
    <w:p>
      <w:pPr>
        <w:pStyle w:val="Heading1"/>
      </w:pPr>
      <w:r>
        <w:t xml:space="preserve">二、30天执行计划</w:t>
      </w:r>
    </w:p>
    <w:p>
      <w:pPr>
        <w:pStyle w:val="Heading2"/>
      </w:pPr>
      <w:r>
        <w:t xml:space="preserve">第1周（4月1-7日）：品牌基础设施搭建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60"/>
        <w:gridCol w:w="2000"/>
        <w:gridCol w:w="20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1.1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确认 Brand Kit 内容（已附）：色值、字体、Logo 规范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Clark 审批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Brand Kit V1.0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1.2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下载并安装字体：微软雅黑（已有）+ 思源黑体（备用）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市场助理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字体安装完成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1.3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注册 Canva 团队版账号，建立品牌套件（上传色值+字体+Logo）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市场助理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Canva 品牌套件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1.4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整理现有素材：Logo各版本、产品图、KOL照片→飞书素材库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市场助理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飞书素材库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第2周（4月8-14日）：核心模版制作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60"/>
        <w:gridCol w:w="2000"/>
        <w:gridCol w:w="20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2.1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PPT 模版：制作母版（封面/内容/数据/结尾 各4版）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PowerPoint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.pptx 模版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2.2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医学信息单页模版：图文版 + 纯文版各 1 套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Canva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Canva 模版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2.3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会议邀请函模版：横版/竖版各 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Canva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Canva 模版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2.4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通知/公告模版：飞书文档模版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飞书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飞书模版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2.5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广告画/灯箱片版式规范（待外包设计师执行）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Figma/AI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版式规范文档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第3周（4月15-21日）：流程建立 + 培训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60"/>
        <w:gridCol w:w="2000"/>
        <w:gridCol w:w="20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3.1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制定材料制作 SOP：需求提交→选模版→填内容→品牌审核→发布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市场助理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SOP 文档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3.2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工具培训（2小时）：Canva 品牌套件用法 + PPT 母版用法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Clark 主导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培训记录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3.3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建立“品牌审核”节点：前期 Clark 亲审，后期可授权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Clark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审核流程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3.4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AI 使用规范：AI只用于文案初稿/数据可视化/图片素材，不做最终排版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市场助理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AI 使用指南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第4周（4月22-30日）：实战测试 + 迭代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60"/>
        <w:gridCol w:w="2000"/>
        <w:gridCol w:w="20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4.1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用真实需求测试全流程（例如：4月9日发布会材料）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市场助理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实战材料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4.2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收集反馈：哪个模版不好用、哪个流程卡点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市场助理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反馈记录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4.3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调整模版，补充缺失场景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市场助理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模版 V1.1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4.4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形成“品牌材料更新日志”，每月 review 一次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Clark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月度 review 机制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三、工具分工矩阵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148F77"/>
          <w:sz w:val="22"/>
          <w:szCs w:val="22"/>
        </w:rPr>
        <w:t xml:space="preserve">原则：AI 做内容引擎，Canva/PPT母版做排版引擎，各司其职。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560"/>
        <w:gridCol w:w="200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主工具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为什么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AI的角色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PPT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PowerPoint 母版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母版锁死字体/色彩/版式，助理只能在框架内填内容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生成文案初稿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邀请函/海报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Canva 团队版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品牌套件功能强，中文支持好，非设计人员可用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生成图片素材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医学单页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Canva / Figma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需要精确排版时用Figma，快速出图用Canva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数据可视化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通知/公告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飞书文档模版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团队已在用飞书，零学习成本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生成文案初稿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灯箱片/印刷品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外包设计师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分辨率和出血线要求高，模版做好后交专业人执行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不使用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四、材料制作 SOP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每份材料必须走完以下 5 步：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4260"/>
        <w:gridCol w:w="250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耗时参考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①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需求提交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在飞书填写《材料需求单》：场景、目标受众、内容要点、交付时间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10 分钟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②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选模版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从模版库选择对应场景模版，复制一份开始编辑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5 分钟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③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填内容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在模版框架内填入文案、数据、图片（可用AI生成初稿）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30-60 分钟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④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品牌审核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对照 Brand Kit 检查清单自查，然后提交 Clark 审批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15 分钟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⑤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发布/输出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按目标渠道导出正确格式（屏幕/印刷/社交媒体）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5 分钟</w:t>
            </w:r>
          </w:p>
        </w:tc>
      </w:tr>
    </w:tbl>
    <w:p>
      <w:pPr>
        <w:spacing w:before="300"/>
      </w:pPr>
    </w:p>
    <w:p>
      <w:r>
        <w:rPr>
          <w:rFonts w:ascii="Microsoft YaHei" w:cs="Microsoft YaHei" w:eastAsia="Microsoft YaHei" w:hAnsi="Microsoft YaHei"/>
          <w:b/>
          <w:bCs/>
          <w:color w:val="1A5276"/>
          <w:sz w:val="22"/>
          <w:szCs w:val="22"/>
        </w:rPr>
        <w:t xml:space="preserve">关键规则：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第④步“品牌审核”是必须环节，不得跳过。前期由 Clark 亲自审核，待助理熟练后可授权自审。</w:t>
      </w:r>
    </w:p>
    <w:p>
      <w:r>
        <w:br w:type="page"/>
      </w:r>
    </w:p>
    <w:p>
      <w:pPr>
        <w:pStyle w:val="Heading1"/>
      </w:pPr>
      <w:r>
        <w:t xml:space="preserve">五、AI 使用规范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148F77"/>
          <w:sz w:val="22"/>
          <w:szCs w:val="22"/>
        </w:rPr>
        <w:t xml:space="preserve">AI 是内容引擎，不是排版引擎。以下是具体使用边界：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5276"/>
                <w:sz w:val="20"/>
                <w:szCs w:val="20"/>
              </w:rPr>
              <w:t xml:space="preserve">✅ AI 可以做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922B21"/>
                <w:sz w:val="20"/>
                <w:szCs w:val="20"/>
              </w:rPr>
              <w:t xml:space="preserve">❌ AI 不要做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生成文案初稿（标题、副标题、正文）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最终排版和输出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数据可视化（图表、信息图）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直接生成完成的海报/PPT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图片素材生成（背景、插图）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中文排版（AI中文渲染不稳定）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翻译和改写已有内容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替代 Brand Kit 做设计决策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检查拼写和语法错误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生成最终印刷文件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六、预算估算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费用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Canva 团队版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级900元/人/年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先开 1 个账号即可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初始模版设计（如需外包）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5,000-10,000元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一次性投入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思源黑体字体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免费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Google Fonts 下载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C2833"/>
                <w:sz w:val="20"/>
                <w:szCs w:val="20"/>
              </w:rPr>
              <w:t xml:space="preserve">总计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C2833"/>
                <w:sz w:val="20"/>
                <w:szCs w:val="20"/>
              </w:rPr>
              <w:t xml:space="preserve">约1,000-11,000元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2833"/>
                <w:sz w:val="20"/>
                <w:szCs w:val="20"/>
              </w:rPr>
              <w:t xml:space="preserve">视是否外包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七、重要提醒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所有对外材料必须使用 Brand Kit 规定的色值和字体，无例外。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医学类材料必须包含“仅供医疗专业人士参考”声明。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任何数据引用必须标注来源（例如：“数据来源：高视星2026年临床研究”）。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模版库每月更新一次，跟随业务需求迭代。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遇到 Brand Kit 未覆盖的场景，先问 Clark，不要自行发挥。</w:t>
      </w:r>
    </w:p>
    <w:p>
      <w:pPr>
        <w:spacing w:before="600"/>
        <w:jc w:val="center"/>
      </w:pPr>
      <w:r>
        <w:rPr>
          <w:rFonts w:ascii="Microsoft YaHei" w:cs="Microsoft YaHei" w:eastAsia="Microsoft YaHei" w:hAnsi="Microsoft YaHei"/>
          <w:color w:val="5D6D7E"/>
          <w:sz w:val="20"/>
          <w:szCs w:val="20"/>
        </w:rPr>
        <w:t xml:space="preserve">— 本文档由高视星 CEO 办公室发布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D6D7E"/>
        <w:sz w:val="16"/>
        <w:szCs w:val="16"/>
      </w:rPr>
      <w:t xml:space="preserve">内部文件 · </w:t>
    </w:r>
    <w:r>
      <w:rPr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4"/>
      </w:pBdr>
    </w:pPr>
    <w:r>
      <w:rPr>
        <w:rFonts w:ascii="Microsoft YaHei" w:cs="Microsoft YaHei" w:eastAsia="Microsoft YaHei" w:hAnsi="Microsoft YaHei"/>
        <w:color w:val="5D6D7E"/>
        <w:sz w:val="18"/>
        <w:szCs w:val="18"/>
      </w:rPr>
      <w:t xml:space="preserve">高视星市场材料品牌升级执行方案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1C28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2026-03-31T08:36:29.316Z</dcterms:created>
  <dcterms:modified xsi:type="dcterms:W3CDTF">2026-03-31T08:36:29.317Z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