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FB9C" w14:textId="38D021FF" w:rsidR="00FA1DAF" w:rsidRDefault="003D763B" w:rsidP="00BD37F4">
      <w:pPr>
        <w:spacing w:line="36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486115">
        <w:rPr>
          <w:rFonts w:ascii="黑体" w:eastAsia="黑体" w:hAnsi="黑体" w:cs="Times New Roman"/>
          <w:sz w:val="32"/>
          <w:szCs w:val="32"/>
        </w:rPr>
        <w:t>转录组分析流程</w:t>
      </w:r>
    </w:p>
    <w:p w14:paraId="633CBAF5" w14:textId="77777777" w:rsidR="0094038D" w:rsidRPr="00745FE6" w:rsidRDefault="0094038D" w:rsidP="0094038D">
      <w:pPr>
        <w:spacing w:line="360" w:lineRule="auto"/>
        <w:jc w:val="center"/>
        <w:rPr>
          <w:rFonts w:ascii="黑体" w:eastAsia="黑体" w:hAnsi="黑体" w:cs="Times New Roman"/>
          <w:color w:val="595959" w:themeColor="text1" w:themeTint="A6"/>
          <w:sz w:val="24"/>
          <w:szCs w:val="24"/>
        </w:rPr>
      </w:pP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W</w:t>
      </w:r>
      <w:r w:rsidRPr="00745FE6">
        <w:rPr>
          <w:rFonts w:ascii="黑体" w:eastAsia="黑体" w:hAnsi="黑体" w:cs="Times New Roman"/>
          <w:color w:val="595959" w:themeColor="text1" w:themeTint="A6"/>
          <w:sz w:val="24"/>
          <w:szCs w:val="24"/>
        </w:rPr>
        <w:t xml:space="preserve">ritten by </w:t>
      </w: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王鹏飞</w:t>
      </w:r>
    </w:p>
    <w:p w14:paraId="2BDD47B6" w14:textId="77777777" w:rsidR="0094038D" w:rsidRPr="00172294" w:rsidRDefault="0094038D" w:rsidP="0094038D">
      <w:pPr>
        <w:spacing w:line="360" w:lineRule="auto"/>
        <w:jc w:val="center"/>
        <w:rPr>
          <w:rFonts w:ascii="黑体" w:eastAsia="黑体" w:hAnsi="黑体" w:cs="Times New Roman"/>
          <w:sz w:val="24"/>
          <w:szCs w:val="24"/>
        </w:rPr>
      </w:pP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Email:</w:t>
      </w:r>
      <w:r w:rsidRPr="00EB1B29">
        <w:rPr>
          <w:rFonts w:ascii="黑体" w:eastAsia="黑体" w:hAnsi="黑体" w:cs="Times New Roman"/>
          <w:sz w:val="24"/>
          <w:szCs w:val="24"/>
        </w:rPr>
        <w:t xml:space="preserve"> </w:t>
      </w:r>
      <w:hyperlink r:id="rId7" w:history="1">
        <w:r w:rsidRPr="00EB1B29">
          <w:rPr>
            <w:rStyle w:val="a8"/>
            <w:rFonts w:ascii="黑体" w:eastAsia="黑体" w:hAnsi="黑体" w:cs="Times New Roman"/>
            <w:sz w:val="24"/>
            <w:szCs w:val="24"/>
            <w:u w:val="none"/>
          </w:rPr>
          <w:t>wangpf0608@126.com</w:t>
        </w:r>
      </w:hyperlink>
    </w:p>
    <w:p w14:paraId="58A4F0AB" w14:textId="02B76B91" w:rsidR="00E44383" w:rsidRPr="00486115" w:rsidRDefault="00E44383" w:rsidP="00BD37F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486115">
        <w:rPr>
          <w:rFonts w:ascii="黑体" w:eastAsia="黑体" w:hAnsi="黑体" w:cs="Times New Roman"/>
          <w:sz w:val="30"/>
          <w:szCs w:val="30"/>
        </w:rPr>
        <w:t>一 分析流程图</w:t>
      </w:r>
    </w:p>
    <w:p w14:paraId="48E167EC" w14:textId="641F0E66" w:rsidR="003D763B" w:rsidRPr="00486115" w:rsidRDefault="00FC7200" w:rsidP="00BD37F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85AEA" wp14:editId="5D906CBB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19E" w14:textId="6EB7C8F8" w:rsidR="00E44383" w:rsidRPr="00486115" w:rsidRDefault="00E44383" w:rsidP="00BD37F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486115">
        <w:rPr>
          <w:rFonts w:ascii="黑体" w:eastAsia="黑体" w:hAnsi="黑体" w:cs="Times New Roman"/>
          <w:sz w:val="30"/>
          <w:szCs w:val="30"/>
        </w:rPr>
        <w:t>二 分析流程及结果</w:t>
      </w:r>
    </w:p>
    <w:p w14:paraId="1BA5BC6B" w14:textId="6656E31B" w:rsidR="00E44383" w:rsidRPr="00486115" w:rsidRDefault="00E44383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取样、mRNA提取、建库及测序</w:t>
      </w:r>
    </w:p>
    <w:p w14:paraId="197B6DF2" w14:textId="5C7B5EB1" w:rsidR="00E44383" w:rsidRPr="00486115" w:rsidRDefault="00E44383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参考公司报告。</w:t>
      </w:r>
    </w:p>
    <w:p w14:paraId="2F7DDB51" w14:textId="0A6A7589" w:rsidR="00E44383" w:rsidRPr="00486115" w:rsidRDefault="00E44383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数据过滤</w:t>
      </w:r>
    </w:p>
    <w:p w14:paraId="07DFE9F2" w14:textId="033C8BD0" w:rsidR="00E44383" w:rsidRPr="00486115" w:rsidRDefault="00E44383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fastp</w:t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_Ref67407583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1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Pr="00486115">
        <w:rPr>
          <w:rFonts w:ascii="Times New Roman" w:eastAsia="宋体" w:hAnsi="Times New Roman" w:cs="Times New Roman"/>
          <w:sz w:val="24"/>
          <w:szCs w:val="24"/>
        </w:rPr>
        <w:t>0.20.0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）对</w:t>
      </w:r>
      <w:r w:rsidRPr="00486115">
        <w:rPr>
          <w:rFonts w:ascii="Times New Roman" w:eastAsia="宋体" w:hAnsi="Times New Roman" w:cs="Times New Roman"/>
          <w:sz w:val="24"/>
          <w:szCs w:val="24"/>
        </w:rPr>
        <w:t>raw data</w:t>
      </w:r>
      <w:r w:rsidRPr="00486115">
        <w:rPr>
          <w:rFonts w:ascii="Times New Roman" w:eastAsia="宋体" w:hAnsi="Times New Roman" w:cs="Times New Roman"/>
          <w:sz w:val="24"/>
          <w:szCs w:val="24"/>
        </w:rPr>
        <w:t>进行过滤得到</w:t>
      </w:r>
      <w:r w:rsidRPr="00486115">
        <w:rPr>
          <w:rFonts w:ascii="Times New Roman" w:eastAsia="宋体" w:hAnsi="Times New Roman" w:cs="Times New Roman"/>
          <w:sz w:val="24"/>
          <w:szCs w:val="24"/>
        </w:rPr>
        <w:t>clean data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Pr="00486115">
        <w:rPr>
          <w:rFonts w:ascii="Times New Roman" w:eastAsia="宋体" w:hAnsi="Times New Roman" w:cs="Times New Roman"/>
          <w:sz w:val="24"/>
          <w:szCs w:val="24"/>
        </w:rPr>
        <w:t>统计过滤前后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total bases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total reads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Q30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Q20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GC content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以及有效数据比率（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data_stat.csv/txt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），同时使用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FastQC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0.11.9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）对过滤前后的数据进行质量评估（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QC/sample_fastqc.html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01F81BD0" w14:textId="1947237B" w:rsidR="00C348F8" w:rsidRPr="00486115" w:rsidRDefault="00C348F8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比对</w:t>
      </w:r>
      <w:r w:rsidR="0026413A" w:rsidRPr="00486115">
        <w:rPr>
          <w:rFonts w:ascii="黑体" w:eastAsia="黑体" w:hAnsi="黑体" w:cs="Times New Roman"/>
          <w:sz w:val="28"/>
          <w:szCs w:val="28"/>
        </w:rPr>
        <w:t>到参考基因组</w:t>
      </w:r>
    </w:p>
    <w:p w14:paraId="56A7AE63" w14:textId="33CEA05B" w:rsidR="00C348F8" w:rsidRPr="00486115" w:rsidRDefault="00C348F8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lastRenderedPageBreak/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_Ref67407595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2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Pr="00486115">
        <w:rPr>
          <w:rFonts w:ascii="Times New Roman" w:eastAsia="宋体" w:hAnsi="Times New Roman" w:cs="Times New Roman"/>
          <w:sz w:val="24"/>
          <w:szCs w:val="24"/>
        </w:rPr>
        <w:t>2.1.0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）将</w:t>
      </w:r>
      <w:r w:rsidRPr="00486115">
        <w:rPr>
          <w:rFonts w:ascii="Times New Roman" w:eastAsia="宋体" w:hAnsi="Times New Roman" w:cs="Times New Roman"/>
          <w:sz w:val="24"/>
          <w:szCs w:val="24"/>
        </w:rPr>
        <w:t>clean reads</w:t>
      </w:r>
      <w:r w:rsidRPr="00486115">
        <w:rPr>
          <w:rFonts w:ascii="Times New Roman" w:eastAsia="宋体" w:hAnsi="Times New Roman" w:cs="Times New Roman"/>
          <w:sz w:val="24"/>
          <w:szCs w:val="24"/>
        </w:rPr>
        <w:t>比对到</w:t>
      </w:r>
      <w:r w:rsidR="00922885">
        <w:rPr>
          <w:rFonts w:ascii="Times New Roman" w:eastAsia="宋体" w:hAnsi="Times New Roman" w:cs="Times New Roman" w:hint="eastAsia"/>
          <w:sz w:val="24"/>
          <w:szCs w:val="24"/>
        </w:rPr>
        <w:t>甘蓝型油菜</w:t>
      </w:r>
      <w:r w:rsidR="00922885">
        <w:rPr>
          <w:rFonts w:ascii="Times New Roman" w:eastAsia="宋体" w:hAnsi="Times New Roman" w:cs="Times New Roman"/>
          <w:sz w:val="24"/>
          <w:szCs w:val="24"/>
        </w:rPr>
        <w:t>ZS11</w:t>
      </w:r>
      <w:r w:rsidRPr="00486115">
        <w:rPr>
          <w:rFonts w:ascii="Times New Roman" w:eastAsia="宋体" w:hAnsi="Times New Roman" w:cs="Times New Roman"/>
          <w:sz w:val="24"/>
          <w:szCs w:val="24"/>
        </w:rPr>
        <w:t>参考基因组</w:t>
      </w:r>
      <w:r w:rsidR="00922885" w:rsidRPr="00306DE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  <w:vertAlign w:val="superscript"/>
        </w:rPr>
        <w:instrText>REF _Ref67407603 \r \h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3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922885" w:rsidRP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上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，得到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Sequence Alignment/Map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格式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文件，然后使用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SAMtools</w:t>
      </w:r>
      <w:r w:rsidR="009D361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 1.9</w:t>
      </w:r>
      <w:r w:rsidR="009D361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对比对结果（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文件）按照染色体和位置进行排序并转换为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Binary Alignment/Map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）格式文件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_Ref67407621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4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，可以将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文件导入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IGV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Integrative Genomics Viewer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190062" w:rsidRPr="00FB715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  <w:vertAlign w:val="superscript"/>
        </w:rPr>
        <w:instrText>REF _Ref67407630 \r \h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5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190062" w:rsidRP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对比对结果进行可视化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可以使用更少资源的同时具有更快的速度，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比对时，对于非链特异性文库使用默认参数，链特异性文库需要指定文库类型（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first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--rna-strandness RF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second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--rna-strandness FR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。比对完成后，我们对比对结果进行评估，统计比对率和唯一比对率。</w:t>
      </w:r>
    </w:p>
    <w:p w14:paraId="65F2417C" w14:textId="07971717" w:rsidR="00E44383" w:rsidRPr="00486115" w:rsidRDefault="0026413A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表达量计算</w:t>
      </w:r>
    </w:p>
    <w:p w14:paraId="4A5D82A1" w14:textId="7C190F25" w:rsidR="0026413A" w:rsidRPr="00486115" w:rsidRDefault="00CE6941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根据比对结果（</w:t>
      </w:r>
      <w:r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Pr="00486115">
        <w:rPr>
          <w:rFonts w:ascii="Times New Roman" w:eastAsia="宋体" w:hAnsi="Times New Roman" w:cs="Times New Roman"/>
          <w:sz w:val="24"/>
          <w:szCs w:val="24"/>
        </w:rPr>
        <w:t>文件），我们使用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4.0.2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）软件的</w:t>
      </w:r>
      <w:r w:rsidRPr="00486115">
        <w:rPr>
          <w:rFonts w:ascii="Times New Roman" w:eastAsia="宋体" w:hAnsi="Times New Roman" w:cs="Times New Roman"/>
          <w:sz w:val="24"/>
          <w:szCs w:val="24"/>
        </w:rPr>
        <w:t>扩展包</w:t>
      </w:r>
      <w:r w:rsidRPr="00486115">
        <w:rPr>
          <w:rFonts w:ascii="Times New Roman" w:eastAsia="宋体" w:hAnsi="Times New Roman" w:cs="Times New Roman"/>
          <w:sz w:val="24"/>
          <w:szCs w:val="24"/>
        </w:rPr>
        <w:t>Rsubread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_Ref67407641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6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2.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2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.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6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Pr="00486115">
        <w:rPr>
          <w:rFonts w:ascii="Times New Roman" w:eastAsia="宋体" w:hAnsi="Times New Roman" w:cs="Times New Roman"/>
          <w:sz w:val="24"/>
          <w:szCs w:val="24"/>
        </w:rPr>
        <w:t>中的</w:t>
      </w:r>
      <w:r w:rsidRPr="00486115">
        <w:rPr>
          <w:rFonts w:ascii="Times New Roman" w:eastAsia="宋体" w:hAnsi="Times New Roman" w:cs="Times New Roman"/>
          <w:sz w:val="24"/>
          <w:szCs w:val="24"/>
        </w:rPr>
        <w:t>featureCounts</w:t>
      </w:r>
      <w:r w:rsidRPr="00486115">
        <w:rPr>
          <w:rFonts w:ascii="Times New Roman" w:eastAsia="宋体" w:hAnsi="Times New Roman" w:cs="Times New Roman"/>
          <w:sz w:val="24"/>
          <w:szCs w:val="24"/>
        </w:rPr>
        <w:t>函数计算每个基因的表达量（</w:t>
      </w:r>
      <w:r w:rsidRPr="00486115">
        <w:rPr>
          <w:rFonts w:ascii="Times New Roman" w:eastAsia="宋体" w:hAnsi="Times New Roman" w:cs="Times New Roman"/>
          <w:sz w:val="24"/>
          <w:szCs w:val="24"/>
        </w:rPr>
        <w:t>read count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）并进行归一化处理（</w:t>
      </w:r>
      <w:r w:rsidRPr="00486115">
        <w:rPr>
          <w:rFonts w:ascii="Times New Roman" w:eastAsia="宋体" w:hAnsi="Times New Roman" w:cs="Times New Roman"/>
          <w:sz w:val="24"/>
          <w:szCs w:val="24"/>
        </w:rPr>
        <w:t>normalization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，得到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TPM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Transcripts Per Kilobase of exon model per Million mapped reads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）和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TMM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trimmed mean of M value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）表达矩阵。</w:t>
      </w:r>
    </w:p>
    <w:p w14:paraId="77014A94" w14:textId="07EFAB0B" w:rsidR="0026413A" w:rsidRPr="00486115" w:rsidRDefault="0078546A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差异表达分析</w:t>
      </w:r>
    </w:p>
    <w:p w14:paraId="10817B8C" w14:textId="0EE2668A" w:rsidR="0078546A" w:rsidRPr="00486115" w:rsidRDefault="0078546A" w:rsidP="00651AB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根据基因表达矩阵（</w:t>
      </w:r>
      <w:r w:rsidRPr="00486115">
        <w:rPr>
          <w:rFonts w:ascii="Times New Roman" w:eastAsia="宋体" w:hAnsi="Times New Roman" w:cs="Times New Roman"/>
          <w:sz w:val="24"/>
          <w:szCs w:val="24"/>
        </w:rPr>
        <w:t>read count</w:t>
      </w:r>
      <w:r w:rsidRPr="00486115">
        <w:rPr>
          <w:rFonts w:ascii="Times New Roman" w:eastAsia="宋体" w:hAnsi="Times New Roman" w:cs="Times New Roman"/>
          <w:sz w:val="24"/>
          <w:szCs w:val="24"/>
        </w:rPr>
        <w:t>）文件，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在有生物学重复的情况下，</w:t>
      </w:r>
      <w:r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Pr="00486115">
        <w:rPr>
          <w:rFonts w:ascii="Times New Roman" w:eastAsia="宋体" w:hAnsi="Times New Roman" w:cs="Times New Roman"/>
          <w:sz w:val="24"/>
          <w:szCs w:val="24"/>
        </w:rPr>
        <w:t>4.0.2</w:t>
      </w:r>
      <w:r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r w:rsidRPr="00486115">
        <w:rPr>
          <w:rFonts w:ascii="Times New Roman" w:eastAsia="宋体" w:hAnsi="Times New Roman" w:cs="Times New Roman"/>
          <w:sz w:val="24"/>
          <w:szCs w:val="24"/>
        </w:rPr>
        <w:t>DESeq2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_Ref67407652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7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1.28.1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进行差异表达分析，在没有生物学重复的情况下，则使用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扩展包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edgeR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_Ref67407660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8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3.30.3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）进行差异表达分析，并推荐测生物学重复，也不算太贵。对于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log2FoldChange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绝对值大于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1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，并且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padj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小于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0.05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的基因则认为是差异表达基因（阈值需根据实际情况做出调整）。</w:t>
      </w:r>
    </w:p>
    <w:p w14:paraId="051168D7" w14:textId="11B422B1" w:rsidR="0078546A" w:rsidRPr="00486115" w:rsidRDefault="00651AB7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功能富集分析</w:t>
      </w:r>
    </w:p>
    <w:p w14:paraId="46A388C3" w14:textId="5C7AC5A8" w:rsidR="00651AB7" w:rsidRDefault="00651AB7" w:rsidP="00935B1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根据筛选出的差异表达基因，我们使用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Pr="00486115">
        <w:rPr>
          <w:rFonts w:ascii="Times New Roman" w:eastAsia="宋体" w:hAnsi="Times New Roman" w:cs="Times New Roman"/>
          <w:sz w:val="24"/>
          <w:szCs w:val="24"/>
        </w:rPr>
        <w:t>4.0.2</w:t>
      </w:r>
      <w:r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r w:rsidRPr="00486115">
        <w:rPr>
          <w:rFonts w:ascii="Times New Roman" w:eastAsia="宋体" w:hAnsi="Times New Roman" w:cs="Times New Roman"/>
          <w:sz w:val="24"/>
          <w:szCs w:val="24"/>
        </w:rPr>
        <w:t>clusterProfiler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_Ref67407669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9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3.16.1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依据超几何分布检验来完成</w:t>
      </w:r>
      <w:r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Pr="00486115">
        <w:rPr>
          <w:rFonts w:ascii="Times New Roman" w:eastAsia="宋体" w:hAnsi="Times New Roman" w:cs="Times New Roman"/>
          <w:sz w:val="24"/>
          <w:szCs w:val="24"/>
        </w:rPr>
        <w:t>和</w:t>
      </w:r>
      <w:r w:rsidRPr="00486115">
        <w:rPr>
          <w:rFonts w:ascii="Times New Roman" w:eastAsia="宋体" w:hAnsi="Times New Roman" w:cs="Times New Roman"/>
          <w:sz w:val="24"/>
          <w:szCs w:val="24"/>
        </w:rPr>
        <w:t>KEGG</w:t>
      </w:r>
      <w:r w:rsidRPr="00486115">
        <w:rPr>
          <w:rFonts w:ascii="Times New Roman" w:eastAsia="宋体" w:hAnsi="Times New Roman" w:cs="Times New Roman"/>
          <w:sz w:val="24"/>
          <w:szCs w:val="24"/>
        </w:rPr>
        <w:t>富集分析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Over-representation analysis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设置参数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pvalueCutoff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和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qvalueCutoff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为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0.05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筛选显著富集的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GO/KEGG term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在绘图时，如果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KEGG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的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太多（一般是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），建议取前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个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中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CC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BP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和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MF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各选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各）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lastRenderedPageBreak/>
        <w:t>进行绘图，如果相关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不在前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个内，也可以手动添加。</w:t>
      </w:r>
    </w:p>
    <w:p w14:paraId="37044CA9" w14:textId="5B920B53" w:rsidR="00FC7200" w:rsidRPr="00486115" w:rsidRDefault="00FC7200" w:rsidP="00935B1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同时，我们使用</w:t>
      </w:r>
      <w:r>
        <w:rPr>
          <w:rFonts w:ascii="Times New Roman" w:eastAsia="宋体" w:hAnsi="Times New Roman" w:cs="Times New Roman" w:hint="eastAsia"/>
          <w:sz w:val="24"/>
          <w:szCs w:val="24"/>
        </w:rPr>
        <w:t>clusterProfiler</w:t>
      </w:r>
      <w:r w:rsidR="004059DE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4059DE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4059DE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_Ref67407669 \r \h </w:instrText>
      </w:r>
      <w:r w:rsidR="004059DE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4059DE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9</w:t>
      </w:r>
      <w:r w:rsidR="004059DE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4059DE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GSEA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C7200">
        <w:rPr>
          <w:rFonts w:ascii="Times New Roman" w:eastAsia="宋体" w:hAnsi="Times New Roman" w:cs="Times New Roman"/>
          <w:sz w:val="24"/>
          <w:szCs w:val="24"/>
        </w:rPr>
        <w:t>Gene Set Enrichment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C7200">
        <w:rPr>
          <w:rFonts w:ascii="Times New Roman" w:eastAsia="宋体" w:hAnsi="Times New Roman" w:cs="Times New Roman"/>
          <w:sz w:val="24"/>
          <w:szCs w:val="24"/>
        </w:rPr>
        <w:t>Analysis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="004059DE">
        <w:rPr>
          <w:rFonts w:ascii="Times New Roman" w:eastAsia="宋体" w:hAnsi="Times New Roman" w:cs="Times New Roman" w:hint="eastAsia"/>
          <w:sz w:val="24"/>
          <w:szCs w:val="24"/>
        </w:rPr>
        <w:t>其基本思想是将基因按照两组样本中差异表达程度排序，使用预先定义的基因集（</w:t>
      </w:r>
      <w:r w:rsidR="004059DE">
        <w:rPr>
          <w:rFonts w:ascii="Times New Roman" w:eastAsia="宋体" w:hAnsi="Times New Roman" w:cs="Times New Roman" w:hint="eastAsia"/>
          <w:sz w:val="24"/>
          <w:szCs w:val="24"/>
        </w:rPr>
        <w:t>GO</w:t>
      </w:r>
      <w:r w:rsidR="004059DE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4059DE">
        <w:rPr>
          <w:rFonts w:ascii="Times New Roman" w:eastAsia="宋体" w:hAnsi="Times New Roman" w:cs="Times New Roman" w:hint="eastAsia"/>
          <w:sz w:val="24"/>
          <w:szCs w:val="24"/>
        </w:rPr>
        <w:t>KEGG</w:t>
      </w:r>
      <w:r w:rsidR="004059DE">
        <w:rPr>
          <w:rFonts w:ascii="Times New Roman" w:eastAsia="宋体" w:hAnsi="Times New Roman" w:cs="Times New Roman" w:hint="eastAsia"/>
          <w:sz w:val="24"/>
          <w:szCs w:val="24"/>
        </w:rPr>
        <w:t>），检验预先定义的基因集是否排列在顶端或底端。</w:t>
      </w:r>
      <w:r w:rsidR="004059DE">
        <w:rPr>
          <w:rFonts w:ascii="Times New Roman" w:eastAsia="宋体" w:hAnsi="Times New Roman" w:cs="Times New Roman" w:hint="eastAsia"/>
          <w:sz w:val="24"/>
          <w:szCs w:val="24"/>
        </w:rPr>
        <w:t>GSEA</w:t>
      </w:r>
      <w:r w:rsidR="00DF6E1F">
        <w:rPr>
          <w:rFonts w:ascii="Times New Roman" w:eastAsia="宋体" w:hAnsi="Times New Roman" w:cs="Times New Roman" w:hint="eastAsia"/>
          <w:sz w:val="24"/>
          <w:szCs w:val="24"/>
        </w:rPr>
        <w:t>可以充分利用基因差异表达程度的信息，排除人为筛选差异表达基因的主观性，</w:t>
      </w:r>
      <w:r w:rsidR="00DF6E1F">
        <w:rPr>
          <w:rFonts w:ascii="Times New Roman" w:eastAsia="宋体" w:hAnsi="Times New Roman" w:cs="Times New Roman" w:hint="eastAsia"/>
          <w:sz w:val="24"/>
          <w:szCs w:val="24"/>
        </w:rPr>
        <w:t>是一种更先进富集方法，</w:t>
      </w:r>
      <w:r w:rsidR="004059DE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4059DE">
        <w:rPr>
          <w:rFonts w:ascii="Times New Roman" w:eastAsia="宋体" w:hAnsi="Times New Roman" w:cs="Times New Roman" w:hint="eastAsia"/>
          <w:sz w:val="24"/>
          <w:szCs w:val="24"/>
        </w:rPr>
        <w:t>over-representation</w:t>
      </w:r>
      <w:r w:rsidR="004059DE">
        <w:rPr>
          <w:rFonts w:ascii="Times New Roman" w:eastAsia="宋体" w:hAnsi="Times New Roman" w:cs="Times New Roman" w:hint="eastAsia"/>
          <w:sz w:val="24"/>
          <w:szCs w:val="24"/>
        </w:rPr>
        <w:t>富集方法互为补充。</w:t>
      </w:r>
    </w:p>
    <w:p w14:paraId="217B4934" w14:textId="691B59C2" w:rsidR="00651AB7" w:rsidRPr="00486115" w:rsidRDefault="00627D59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WGCNA</w:t>
      </w:r>
    </w:p>
    <w:p w14:paraId="0DE44405" w14:textId="0D82673C" w:rsidR="00486115" w:rsidRDefault="00627D59" w:rsidP="004861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加权基因共表达网络分析（</w:t>
      </w:r>
      <w:r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Pr="00486115">
        <w:rPr>
          <w:rFonts w:ascii="Times New Roman" w:eastAsia="宋体" w:hAnsi="Times New Roman" w:cs="Times New Roman"/>
          <w:color w:val="404040"/>
          <w:shd w:val="clear" w:color="auto" w:fill="FFFFFF"/>
        </w:rPr>
        <w:t>Weighted correlation network</w:t>
      </w:r>
      <w:r w:rsidRPr="00486115">
        <w:rPr>
          <w:rFonts w:ascii="Times New Roman" w:eastAsia="宋体" w:hAnsi="Times New Roman" w:cs="Times New Roman"/>
          <w:color w:val="404040"/>
        </w:rPr>
        <w:t xml:space="preserve"> </w:t>
      </w:r>
      <w:r w:rsidRPr="00486115">
        <w:rPr>
          <w:rFonts w:ascii="Times New Roman" w:eastAsia="宋体" w:hAnsi="Times New Roman" w:cs="Times New Roman"/>
          <w:color w:val="404040"/>
          <w:shd w:val="clear" w:color="auto" w:fill="FFFFFF"/>
        </w:rPr>
        <w:t>analysis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可以用来鉴定样本间高度协同变化的基因集（模块），同时可以根据模块特征值（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eigengene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）将模块与外部性状信息相关联，以此鉴定与性状相关的模块并进一步挖掘关键基因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4059DE">
        <w:rPr>
          <w:rFonts w:ascii="Times New Roman" w:eastAsia="宋体" w:hAnsi="Times New Roman" w:cs="Times New Roman"/>
          <w:color w:val="2F5496" w:themeColor="accent1" w:themeShade="BF"/>
          <w:sz w:val="24"/>
          <w:szCs w:val="24"/>
          <w:vertAlign w:val="superscript"/>
        </w:rPr>
        <w:fldChar w:fldCharType="begin"/>
      </w:r>
      <w:r w:rsidR="00306DE3" w:rsidRPr="004059DE">
        <w:rPr>
          <w:rFonts w:ascii="Times New Roman" w:eastAsia="宋体" w:hAnsi="Times New Roman" w:cs="Times New Roman"/>
          <w:color w:val="2F5496" w:themeColor="accent1" w:themeShade="BF"/>
          <w:sz w:val="24"/>
          <w:szCs w:val="24"/>
          <w:vertAlign w:val="superscript"/>
        </w:rPr>
        <w:instrText xml:space="preserve"> REF _Ref67407681 \r \h </w:instrText>
      </w:r>
      <w:r w:rsidR="00306DE3" w:rsidRPr="004059DE">
        <w:rPr>
          <w:rFonts w:ascii="Times New Roman" w:eastAsia="宋体" w:hAnsi="Times New Roman" w:cs="Times New Roman"/>
          <w:color w:val="2F5496" w:themeColor="accent1" w:themeShade="BF"/>
          <w:sz w:val="24"/>
          <w:szCs w:val="24"/>
          <w:vertAlign w:val="superscript"/>
        </w:rPr>
      </w:r>
      <w:r w:rsidR="00306DE3" w:rsidRPr="004059DE">
        <w:rPr>
          <w:rFonts w:ascii="Times New Roman" w:eastAsia="宋体" w:hAnsi="Times New Roman" w:cs="Times New Roman"/>
          <w:color w:val="2F5496" w:themeColor="accent1" w:themeShade="BF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2F5496" w:themeColor="accent1" w:themeShade="BF"/>
          <w:sz w:val="24"/>
          <w:szCs w:val="24"/>
          <w:vertAlign w:val="superscript"/>
        </w:rPr>
        <w:t>10</w:t>
      </w:r>
      <w:r w:rsidR="00306DE3" w:rsidRPr="004059DE">
        <w:rPr>
          <w:rFonts w:ascii="Times New Roman" w:eastAsia="宋体" w:hAnsi="Times New Roman" w:cs="Times New Roman"/>
          <w:color w:val="2F5496" w:themeColor="accent1" w:themeShade="BF"/>
          <w:sz w:val="24"/>
          <w:szCs w:val="24"/>
          <w:vertAlign w:val="superscript"/>
        </w:rPr>
        <w:fldChar w:fldCharType="end"/>
      </w:r>
      <w:r w:rsidR="00922885">
        <w:rPr>
          <w:rFonts w:ascii="Times New Roman" w:eastAsia="宋体" w:hAnsi="Times New Roman" w:cs="Times New Roman"/>
          <w:sz w:val="24"/>
          <w:szCs w:val="24"/>
          <w:vertAlign w:val="superscript"/>
        </w:rPr>
        <w:t>,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_Ref67407691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11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进行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至少需要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个样本，最好是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20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个及以上。在这里我们筛选差异表达基因使用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4.0.2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_Ref67407691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86427E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11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version: 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1.69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）进行基因模块的构建以及模块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-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样本、模块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-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形状的关联（其中各步骤参数均需根据实际情况决定）。</w:t>
      </w:r>
    </w:p>
    <w:p w14:paraId="56463F26" w14:textId="245C3128" w:rsidR="00BD233A" w:rsidRPr="00486115" w:rsidRDefault="00486115" w:rsidP="00486115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  <w:r w:rsidR="00BD233A" w:rsidRPr="00486115">
        <w:rPr>
          <w:rFonts w:ascii="黑体" w:eastAsia="黑体" w:hAnsi="黑体" w:cs="Times New Roman"/>
          <w:sz w:val="30"/>
          <w:szCs w:val="30"/>
        </w:rPr>
        <w:lastRenderedPageBreak/>
        <w:t>参考文献</w:t>
      </w:r>
    </w:p>
    <w:p w14:paraId="44E2BBD0" w14:textId="187E58BD" w:rsidR="00BD233A" w:rsidRPr="00486115" w:rsidRDefault="00BD233A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Ref67407583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Shifu Chen,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Yanqing Zhou,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Yaru Chen,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Jia Gu. fastp: an ultra-fast all-in-one FASTQ preprocessor[J]. Bioinformatics,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2018,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34(17).</w:t>
      </w:r>
      <w:bookmarkEnd w:id="0"/>
    </w:p>
    <w:p w14:paraId="1F701069" w14:textId="219FC6FF" w:rsidR="00BD233A" w:rsidRDefault="00BD233A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1" w:name="_Ref67407595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Daehwan Kim,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Joseph M. Paggi,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Chanhee Park,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Christopher Bennett,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Steven L. Salzberg. Graph-based genome alignment and genotyping with HISAT2 and HISAT-genotype[J]. Nature Biotechnology: The Science and Business of Biotechnology,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2019,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37(8).</w:t>
      </w:r>
      <w:bookmarkEnd w:id="1"/>
    </w:p>
    <w:p w14:paraId="09A1EBBF" w14:textId="5DD9A9C6" w:rsidR="00922885" w:rsidRPr="00486115" w:rsidRDefault="00922885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2" w:name="_Ref67407603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Jia-Ming Song,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Zhilin Guan,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Jianlin Hu,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Chaocheng Guo,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Zhiquan Yang,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Shuo Wang,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Dongxu Liu,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Bo Wang,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Shaoping Lu,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Run Zhou,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Wen-Zhao Xie,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Yuanfang Cheng,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Yuting Zhang,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Kede Liu,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Qing-Yong Yang,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Ling-Ling Chen,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Liang Guo. Eight high-quality genomes reveal pan-genome architecture and ecotype differentiation of Brassica napus[J]. Nature Plants,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2020,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6(1).</w:t>
      </w:r>
      <w:bookmarkEnd w:id="2"/>
    </w:p>
    <w:p w14:paraId="108AAC56" w14:textId="5A22B344" w:rsidR="00AF442B" w:rsidRDefault="00AF442B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3" w:name="_Ref6740762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Li Heng, Handsaker Bob, Wysoker Alec, Fennell Tim, Ruan Jue, Homer Nils, Marth Gabor, Abecasis Goncalo, Durbin Richard. The Sequence Alignment/Map format and SAMtools.[J]. Bioinformatics (Oxford, England),</w:t>
      </w:r>
      <w:r w:rsidR="001F249B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2009,</w:t>
      </w:r>
      <w:r w:rsidR="001F249B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25(16).</w:t>
      </w:r>
      <w:bookmarkEnd w:id="3"/>
    </w:p>
    <w:p w14:paraId="00440D0D" w14:textId="52E31101" w:rsidR="006D676F" w:rsidRPr="00486115" w:rsidRDefault="006D676F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4" w:name="_Ref67407630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Robinson James T,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Thorvaldsdóttir Helga,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Winckler Wendy,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Guttman Mitchell,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Lander Eric S,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Getz Gad,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Mesirov Jill P. Integrative genomics viewer.[J]. Nature biotechnology,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2011,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29(1).</w:t>
      </w:r>
      <w:bookmarkEnd w:id="4"/>
    </w:p>
    <w:p w14:paraId="2C6A5F64" w14:textId="7E925A85" w:rsidR="00BD233A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5" w:name="_Ref6740764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Liao Yang, Smyth Gordon K, Shi Wei. The R package Rsubread is easier, faster, cheaper and better for alignment and quantification of RNA sequencing reads[J]. Narnia, 2019, 47(8).</w:t>
      </w:r>
      <w:bookmarkEnd w:id="5"/>
    </w:p>
    <w:p w14:paraId="54915609" w14:textId="7EB10DFA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6" w:name="_Ref67407652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Michael I Love, Wolfgang Huber, Simon Anders. Moderated estimation of fold change and dispersion for RNA-seq data with DESeq2[J]. Genome Biology, 2014, 15(12).</w:t>
      </w:r>
      <w:bookmarkEnd w:id="6"/>
    </w:p>
    <w:p w14:paraId="5C4A616A" w14:textId="5E32D54B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7" w:name="_Ref67407660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Mark D. Robinson, Davis J. McCarthy, Gordon K. Smyth. edgeR : a Bioconductor package for differential expression analysis of digital gene expression data[J]. Bioinformatics, 2010, 26(1).</w:t>
      </w:r>
      <w:bookmarkEnd w:id="7"/>
    </w:p>
    <w:p w14:paraId="07312507" w14:textId="5E379C1A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8" w:name="_Ref67407669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>Yu Guangchuang, Wang Li-Gen, Han Yanyan, He Qing-Yu. clusterProfiler: an R package for comparing biological themes among gene clusters.[J]. Omics : a journal of integrative biology, 2012, 16(5).</w:t>
      </w:r>
      <w:bookmarkEnd w:id="8"/>
    </w:p>
    <w:p w14:paraId="4344AB48" w14:textId="58F7DA35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9" w:name="_Ref6740768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Bin Zhang, Steve Horvath. A General Framework for Weighted Gene Co-Expression Network Analysis[J]. Statistical Applications in Genetics and Molecular Biology, 2005,4(1).</w:t>
      </w:r>
      <w:bookmarkEnd w:id="9"/>
    </w:p>
    <w:p w14:paraId="35EA233A" w14:textId="463A852D" w:rsidR="00BD233A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10" w:name="_Ref6740769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Peter Langfelder, Steve Horvath. WGCNA: an R package for weighted correlation network analysis[J]. BMC Bioinformatics, 2008, 9(2).</w:t>
      </w:r>
      <w:bookmarkEnd w:id="10"/>
    </w:p>
    <w:sectPr w:rsidR="00BD233A" w:rsidRPr="0048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CFAEF" w14:textId="77777777" w:rsidR="00220115" w:rsidRDefault="00220115" w:rsidP="0094038D">
      <w:r>
        <w:separator/>
      </w:r>
    </w:p>
  </w:endnote>
  <w:endnote w:type="continuationSeparator" w:id="0">
    <w:p w14:paraId="038A3A5A" w14:textId="77777777" w:rsidR="00220115" w:rsidRDefault="00220115" w:rsidP="0094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9B05" w14:textId="77777777" w:rsidR="00220115" w:rsidRDefault="00220115" w:rsidP="0094038D">
      <w:r>
        <w:separator/>
      </w:r>
    </w:p>
  </w:footnote>
  <w:footnote w:type="continuationSeparator" w:id="0">
    <w:p w14:paraId="2CAF4CFA" w14:textId="77777777" w:rsidR="00220115" w:rsidRDefault="00220115" w:rsidP="00940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46B"/>
    <w:multiLevelType w:val="hybridMultilevel"/>
    <w:tmpl w:val="110C7452"/>
    <w:lvl w:ilvl="0" w:tplc="CDE2D6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3316C"/>
    <w:multiLevelType w:val="hybridMultilevel"/>
    <w:tmpl w:val="28885D26"/>
    <w:lvl w:ilvl="0" w:tplc="02F002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B3F52"/>
    <w:multiLevelType w:val="hybridMultilevel"/>
    <w:tmpl w:val="D0F61CCE"/>
    <w:lvl w:ilvl="0" w:tplc="89088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76B4C"/>
    <w:multiLevelType w:val="hybridMultilevel"/>
    <w:tmpl w:val="E00A7F7C"/>
    <w:lvl w:ilvl="0" w:tplc="6BAC1C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A09E8"/>
    <w:multiLevelType w:val="hybridMultilevel"/>
    <w:tmpl w:val="0D9096DC"/>
    <w:lvl w:ilvl="0" w:tplc="153E2AB8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83"/>
    <w:rsid w:val="0002264F"/>
    <w:rsid w:val="00182C84"/>
    <w:rsid w:val="00190062"/>
    <w:rsid w:val="001F249B"/>
    <w:rsid w:val="00206673"/>
    <w:rsid w:val="00220115"/>
    <w:rsid w:val="0026413A"/>
    <w:rsid w:val="00306DE3"/>
    <w:rsid w:val="003D763B"/>
    <w:rsid w:val="004059DE"/>
    <w:rsid w:val="00431E8B"/>
    <w:rsid w:val="00486115"/>
    <w:rsid w:val="005C3A83"/>
    <w:rsid w:val="005D29D1"/>
    <w:rsid w:val="00627D59"/>
    <w:rsid w:val="00651AB7"/>
    <w:rsid w:val="006D676F"/>
    <w:rsid w:val="0078546A"/>
    <w:rsid w:val="00814657"/>
    <w:rsid w:val="00833BCC"/>
    <w:rsid w:val="00862413"/>
    <w:rsid w:val="0086427E"/>
    <w:rsid w:val="008A1654"/>
    <w:rsid w:val="008B2CC9"/>
    <w:rsid w:val="008E4212"/>
    <w:rsid w:val="00922885"/>
    <w:rsid w:val="00935B17"/>
    <w:rsid w:val="0094038D"/>
    <w:rsid w:val="009D361B"/>
    <w:rsid w:val="009F7503"/>
    <w:rsid w:val="00A57398"/>
    <w:rsid w:val="00AF442B"/>
    <w:rsid w:val="00BB59D2"/>
    <w:rsid w:val="00BD233A"/>
    <w:rsid w:val="00BD37F4"/>
    <w:rsid w:val="00C348F8"/>
    <w:rsid w:val="00CE6941"/>
    <w:rsid w:val="00CF0D95"/>
    <w:rsid w:val="00DF6E1F"/>
    <w:rsid w:val="00E44383"/>
    <w:rsid w:val="00EB1B29"/>
    <w:rsid w:val="00EE2FBE"/>
    <w:rsid w:val="00FA1DAF"/>
    <w:rsid w:val="00FB7153"/>
    <w:rsid w:val="00FC7200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208EE"/>
  <w15:chartTrackingRefBased/>
  <w15:docId w15:val="{883859A7-D3A2-4A81-8DC2-47CE3C4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3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0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03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0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038D"/>
    <w:rPr>
      <w:sz w:val="18"/>
      <w:szCs w:val="18"/>
    </w:rPr>
  </w:style>
  <w:style w:type="character" w:styleId="a8">
    <w:name w:val="Hyperlink"/>
    <w:basedOn w:val="a0"/>
    <w:uiPriority w:val="99"/>
    <w:unhideWhenUsed/>
    <w:rsid w:val="00940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wangpf0608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鹏飞</dc:creator>
  <cp:keywords/>
  <dc:description/>
  <cp:lastModifiedBy>王 鹏飞</cp:lastModifiedBy>
  <cp:revision>24</cp:revision>
  <cp:lastPrinted>2021-06-09T07:23:00Z</cp:lastPrinted>
  <dcterms:created xsi:type="dcterms:W3CDTF">2021-03-22T02:32:00Z</dcterms:created>
  <dcterms:modified xsi:type="dcterms:W3CDTF">2021-06-09T07:23:00Z</dcterms:modified>
</cp:coreProperties>
</file>