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">
  <w:body>
    <w:p w14:paraId="5AA6705E">
      <w:pPr>
        <w:spacing w:before="260" w:after="5273" w:line="520" w:lineRule="atLeast"/>
        <w:ind w:left="720"/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1600200" cy="587375"/>
            <wp:effectExtent l="0" t="0" r="0" b="22225"/>
            <wp:docPr id="9001" name="apevon_logo.png" descr="Apevon Science 标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1" name="apevon_logo.png" descr="Apevon Science 标志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8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B350">
      <w:pPr>
        <w:spacing w:after="220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50"/>
          <w:szCs w:val="50"/>
        </w:rPr>
        <w:t>再生数估计中的不可约误差与监测设计</w:t>
      </w:r>
    </w:p>
    <w:p w14:paraId="19E56024">
      <w:pPr>
        <w:spacing w:after="4300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18263D"/>
          <w:sz w:val="24"/>
          <w:szCs w:val="24"/>
        </w:rPr>
        <w:t>向导师汇报论文理论与第四轮修改</w:t>
      </w:r>
    </w:p>
    <w:p w14:paraId="690AB6F9">
      <w:pPr>
        <w:spacing w:after="100" w:line="340" w:lineRule="atLeast"/>
        <w:jc w:val="center"/>
        <w:rPr>
          <w:rFonts w:ascii="Times New Roman" w:hAnsi="Times New Roman" w:eastAsia="Songti SC" w:cs="Times New Roman"/>
          <w:b w:val="0"/>
          <w:bCs w:val="0"/>
          <w:color w:val="000000"/>
          <w:sz w:val="21"/>
          <w:szCs w:val="21"/>
        </w:rPr>
      </w:pPr>
    </w:p>
    <w:p w14:paraId="7DDFCC01">
      <w:pPr>
        <w:spacing w:after="100" w:line="34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21"/>
          <w:szCs w:val="21"/>
        </w:rPr>
        <w:t>Apevon Science</w:t>
      </w:r>
    </w:p>
    <w:p w14:paraId="7003244E">
      <w:pPr>
        <w:spacing w:after="100" w:line="34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21"/>
          <w:szCs w:val="21"/>
        </w:rPr>
        <w:t>Research &amp; Intelligence</w:t>
      </w:r>
    </w:p>
    <w:p w14:paraId="151E391C">
      <w:pPr>
        <w:spacing w:after="100" w:line="340" w:lineRule="atLeast"/>
        <w:jc w:val="center"/>
        <w:rPr>
          <w:b w:val="0"/>
          <w:bCs w:val="0"/>
        </w:rPr>
      </w:pPr>
      <w:bookmarkStart w:id="900" w:name="_ApevonScope"/>
      <w:bookmarkEnd w:id="900"/>
      <w:r>
        <w:rPr>
          <w:rFonts w:ascii="Times New Roman" w:hAnsi="Times New Roman" w:eastAsia="Songti SC" w:cs="Times New Roman"/>
          <w:b w:val="0"/>
          <w:bCs w:val="0"/>
          <w:color w:val="000000"/>
          <w:sz w:val="21"/>
          <w:szCs w:val="21"/>
        </w:rPr>
        <w:t>研究范围截至 2026 年 10 月 18 日</w:t>
      </w:r>
    </w:p>
    <w:p w14:paraId="1E6193B8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1BADDFA9">
      <w:pPr>
        <w:keepNext/>
        <w:spacing w:before="420" w:after="520" w:line="440" w:lineRule="atLeast"/>
        <w:jc w:val="center"/>
        <w:rPr>
          <w:rFonts w:hint="eastAsia" w:eastAsia="Songti SC"/>
          <w:b w:val="0"/>
          <w:bCs w:val="0"/>
          <w:lang w:val="en-US" w:eastAsia="zh-CN"/>
        </w:rPr>
      </w:pPr>
      <w:bookmarkStart w:id="901" w:name="_ApevonAbstract"/>
      <w:bookmarkEnd w:id="901"/>
      <w:r>
        <w:rPr>
          <w:rFonts w:hint="eastAsia" w:cs="Times New Roman" w:ascii="Times New Roman" w:hAnsi="Times New Roman" w:eastAsia="Songti SC"/>
          <w:b w:val="0"/>
          <w:bCs w:val="0"/>
          <w:color w:val="000000"/>
          <w:sz w:val="36"/>
          <w:szCs w:val="36"/>
          <w:lang w:val="en-US" w:eastAsia="zh-CN"/>
        </w:rPr>
        <w:t>摘 要</w:t>
      </w:r>
    </w:p>
    <w:p w14:paraId="476B8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23"/>
          <w:szCs w:val="23"/>
        </w:rPr>
        <w:t>这份说明是我写给老师的，用于当面讲解，也可以直接阅读。内容依次是论文《环境方差与报告异质性下再生数估计的不可约误差与监测设计》要回答的问题、理论主线及每条结论的成立条件、与 Parag 等 2022 年工作的关系、实证证据能支持到什么程度、第四轮如何回应老师的意见，以及需要老师决定的事项。文中命题、推论和式号均为终版编号，页码对应终版 PDF（正文 31 页，补充材料 11 页）。</w:t>
      </w:r>
    </w:p>
    <w:p w14:paraId="5A0E77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rFonts w:hint="eastAsia" w:ascii="Times New Roman" w:hAnsi="Times New Roman" w:eastAsia="Songti SC" w:cs="Times New Roman"/>
          <w:b w:val="0"/>
          <w:bCs w:val="0"/>
          <w:color w:val="000000"/>
          <w:sz w:val="23"/>
          <w:szCs w:val="23"/>
          <w:lang w:val="en-US" w:eastAsia="zh-CN"/>
        </w:rPr>
      </w:pPr>
    </w:p>
    <w:p w14:paraId="60CF6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rFonts w:ascii="Times New Roman" w:hAnsi="Times New Roman" w:eastAsia="Songti SC" w:cs="Times New Roman"/>
          <w:b w:val="0"/>
          <w:bCs w:val="0"/>
          <w:color w:val="000000"/>
          <w:sz w:val="23"/>
          <w:szCs w:val="23"/>
          <w:lang w:val="en-US" w:eastAsia="zh-CN"/>
        </w:rPr>
      </w:pPr>
      <w:bookmarkStart w:id="902" w:name="_ApevonKeywords"/>
      <w:bookmarkEnd w:id="902"/>
      <w:r>
        <w:rPr>
          <w:rFonts w:ascii="Times New Roman" w:hAnsi="Times New Roman" w:eastAsia="Songti SC" w:cs="Times New Roman"/>
          <w:b w:val="0"/>
          <w:bCs w:val="0"/>
          <w:color w:val="000000"/>
          <w:sz w:val="23"/>
          <w:szCs w:val="23"/>
          <w:lang w:val="en-US" w:eastAsia="zh-CN"/>
        </w:rPr>
        <w:t>关键词：再生数; 环境方差; 报告异质性; 方差平衡规模; 监测设计</w:t>
      </w:r>
    </w:p>
    <w:p w14:paraId="4183B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rFonts w:ascii="Times New Roman" w:hAnsi="Times New Roman" w:eastAsia="Songti SC" w:cs="Times New Roman"/>
          <w:b w:val="0"/>
          <w:bCs w:val="0"/>
          <w:color w:val="000000"/>
          <w:sz w:val="23"/>
          <w:szCs w:val="23"/>
        </w:rPr>
      </w:pPr>
    </w:p>
    <w:p w14:paraId="53D8DC1B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53236506">
      <w:pPr>
        <w:keepNext/>
        <w:spacing w:before="420" w:after="390" w:line="440" w:lineRule="atLeast"/>
        <w:jc w:val="center"/>
        <w:rPr>
          <w:b w:val="0"/>
          <w:bCs w:val="0"/>
        </w:rPr>
      </w:pPr>
      <w:bookmarkStart w:id="903" w:name="_ApevonContents"/>
      <w:bookmarkEnd w:id="903"/>
      <w:r>
        <w:rPr>
          <w:rFonts w:ascii="Times New Roman" w:hAnsi="Times New Roman" w:eastAsia="Songti SC" w:cs="Times New Roman"/>
          <w:b w:val="0"/>
          <w:bCs w:val="0"/>
          <w:color w:val="000000"/>
          <w:sz w:val="36"/>
          <w:szCs w:val="36"/>
        </w:rPr>
        <w:t>目 录</w:t>
      </w:r>
    </w:p>
    <w:p w14:paraId="20D972A3">
      <w:pPr>
        <w:pStyle w:val="8"/>
        <w:rPr>
          <w:b w:val="0"/>
          <w:bCs w:val="0"/>
        </w:rPr>
      </w:pPr>
      <w:r>
        <w:t>1 我想回答的问题</w:t>
      </w:r>
      <w:r>
        <w:tab/>
      </w:r>
      <w:fldSimple w:instr=" PAGEREF _ApevonHeading1 \h ">
        <w:r>
          <w:t>0</w:t>
        </w:r>
      </w:fldSimple>
    </w:p>
    <w:p w14:paraId="20D972A3">
      <w:pPr>
        <w:pStyle w:val="8"/>
        <w:rPr>
          <w:b w:val="0"/>
          <w:bCs w:val="0"/>
        </w:rPr>
      </w:pPr>
      <w:r>
        <w:t>2 理论主线</w:t>
      </w:r>
      <w:r>
        <w:tab/>
      </w:r>
      <w:fldSimple w:instr=" PAGEREF _ApevonHeading2 \h ">
        <w:r>
          <w:t>0</w:t>
        </w:r>
      </w:fldSimple>
    </w:p>
    <w:p w14:paraId="20D972A3">
      <w:pPr>
        <w:pStyle w:val="8"/>
        <w:rPr>
          <w:b w:val="0"/>
          <w:bCs w:val="0"/>
        </w:rPr>
      </w:pPr>
      <w:r>
        <w:t>3 与 Parag 等 2022 年工作的关系</w:t>
      </w:r>
      <w:r>
        <w:tab/>
      </w:r>
      <w:fldSimple w:instr=" PAGEREF _ApevonHeading3 \h ">
        <w:r>
          <w:t>0</w:t>
        </w:r>
      </w:fldSimple>
    </w:p>
    <w:p w14:paraId="20D972A3">
      <w:pPr>
        <w:pStyle w:val="8"/>
        <w:rPr>
          <w:b w:val="0"/>
          <w:bCs w:val="0"/>
        </w:rPr>
      </w:pPr>
      <w:r>
        <w:t>4 证据能支持到哪里</w:t>
      </w:r>
      <w:r>
        <w:tab/>
      </w:r>
      <w:fldSimple w:instr=" PAGEREF _ApevonHeading4 \h ">
        <w:r>
          <w:t>0</w:t>
        </w:r>
      </w:fldSimple>
    </w:p>
    <w:p w14:paraId="20D972A3">
      <w:pPr>
        <w:pStyle w:val="8"/>
        <w:rPr>
          <w:b w:val="0"/>
          <w:bCs w:val="0"/>
        </w:rPr>
      </w:pPr>
      <w:r>
        <w:t>5 对老师意见的回应与第四轮修改</w:t>
      </w:r>
      <w:r>
        <w:tab/>
      </w:r>
      <w:fldSimple w:instr=" PAGEREF _ApevonHeading5 \h ">
        <w:r>
          <w:t>0</w:t>
        </w:r>
      </w:fldSimple>
    </w:p>
    <w:p w14:paraId="20D972A3">
      <w:pPr>
        <w:pStyle w:val="8"/>
        <w:rPr>
          <w:b w:val="0"/>
          <w:bCs w:val="0"/>
        </w:rPr>
      </w:pPr>
      <w:r>
        <w:t>6 局限与需要老师决定的事</w:t>
      </w:r>
      <w:r>
        <w:tab/>
      </w:r>
      <w:fldSimple w:instr=" PAGEREF _ApevonHeading6 \h ">
        <w:r>
          <w:t>0</w:t>
        </w:r>
      </w:fldSimple>
    </w:p>
    <w:p w14:paraId="20D972A3">
      <w:pPr>
        <w:pStyle w:val="8"/>
        <w:rPr>
          <w:b w:val="0"/>
          <w:bCs w:val="0"/>
        </w:rPr>
      </w:pPr>
      <w:r>
        <w:t>7 老师可能会问的问题</w:t>
      </w:r>
      <w:r>
        <w:tab/>
      </w:r>
      <w:fldSimple w:instr=" PAGEREF _ApevonHeading7 \h ">
        <w:r>
          <w:t>0</w:t>
        </w:r>
      </w:fldSimple>
    </w:p>
    <w:p w14:paraId="0BB8D2FF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50A05B98">
      <w:pPr>
        <w:keepNext/>
        <w:spacing w:before="420" w:after="260" w:line="360" w:lineRule="atLeast"/>
        <w:jc w:val="center"/>
        <w:rPr>
          <w:b w:val="0"/>
          <w:bCs w:val="0"/>
        </w:rPr>
      </w:pPr>
      <w:bookmarkStart w:id="904" w:name="_ApevonFigures"/>
      <w:bookmarkEnd w:id="904"/>
      <w:r>
        <w:rPr>
          <w:rFonts w:ascii="Times New Roman" w:hAnsi="Times New Roman" w:eastAsia="Songti SC" w:cs="Times New Roman"/>
          <w:b w:val="0"/>
          <w:bCs w:val="0"/>
          <w:color w:val="000000"/>
          <w:sz w:val="28"/>
          <w:szCs w:val="28"/>
        </w:rPr>
        <w:t>图目录</w:t>
      </w:r>
    </w:p>
    <w:p w14:paraId="1DDC903D">
      <w:pPr>
        <w:pStyle w:val="8"/>
        <w:rPr>
          <w:b w:val="0"/>
          <w:bCs w:val="0"/>
        </w:rPr>
      </w:pPr>
      <w:r>
        <w:t>无</w:t>
      </w:r>
    </w:p>
    <w:p w14:paraId="2BFF4D7B">
      <w:pPr>
        <w:keepNext/>
        <w:pageBreakBefore/>
        <w:spacing w:before="300" w:after="210" w:line="360" w:lineRule="atLeast"/>
        <w:jc w:val="center"/>
        <w:rPr>
          <w:b w:val="0"/>
          <w:bCs w:val="0"/>
        </w:rPr>
      </w:pPr>
      <w:bookmarkStart w:id="905" w:name="_ApevonTables"/>
      <w:bookmarkEnd w:id="905"/>
      <w:r>
        <w:rPr>
          <w:rFonts w:ascii="Times New Roman" w:hAnsi="Times New Roman" w:eastAsia="Songti SC" w:cs="Times New Roman"/>
          <w:b w:val="0"/>
          <w:bCs w:val="0"/>
          <w:color w:val="000000"/>
          <w:sz w:val="28"/>
          <w:szCs w:val="28"/>
        </w:rPr>
        <w:t>表目录</w:t>
      </w:r>
    </w:p>
    <w:p w14:paraId="71A3B452">
      <w:pPr>
        <w:pStyle w:val="8"/>
        <w:rPr>
          <w:b w:val="0"/>
          <w:bCs w:val="0"/>
        </w:rPr>
      </w:pPr>
      <w:r>
        <w:t>无</w:t>
      </w:r>
    </w:p>
    <w:p w14:paraId="2C5D1B42">
      <w:pPr>
        <w:pStyle w:val="8"/>
        <w:rPr>
          <w:b w:val="0"/>
          <w:bCs w:val="0"/>
        </w:rPr>
        <w:sectPr>
          <w:footerReference r:id="rId3" w:type="default"/>
          <w:pgSz w:w="11906" w:h="16838"/>
          <w:pgMar w:top="920" w:right="1053" w:bottom="920" w:left="1053" w:header="390" w:footer="420" w:gutter="0"/>
          <w:pgNumType w:fmt="decimal" w:start="1"/>
          <w:cols w:space="720" w:num="1"/>
        </w:sectPr>
      </w:pPr>
    </w:p>
    <w:p>
      <w:pPr>
        <w:pStyle w:val="2"/>
        <w:pBdr>
          <w:bottom w:val="single" w:color="FF435F" w:sz="8" w:space="5"/>
        </w:pBdr>
      </w:pPr>
      <w:bookmarkStart w:id="1001" w:name="_ApevonHeading1"/>
      <w:r>
        <w:rPr>
          <w:rFonts w:ascii="Times New Roman" w:hAnsi="Times New Roman" w:eastAsia="Songti SC"/>
        </w:rPr>
        <w:t>1 我想回答的问题</w:t>
      </w:r>
      <w:bookmarkEnd w:id="1001"/>
    </w:p>
    <w:p>
      <w:pPr>
        <w:pStyle w:val="3"/>
        <w:jc w:val="both"/>
      </w:pPr>
      <w:r>
        <w:rPr>
          <w:rFonts w:ascii="Times New Roman" w:hAnsi="Times New Roman" w:eastAsia="Songti SC"/>
        </w:rPr>
        <w:t>老师，这篇论文研究的是用病例报告数推断再生数时误差的结构。常见的做法默认监测覆盖越大，估计越准。我在单代负二项传播、二项报告的模型下证明，当关心的是跨期平均水平或下一期的增长时，误差中有一部分来自各期真实的环境波动和报告口径的波动，这部分与报告规模无关，扩大监测压不下去。这件事值得做，因为它决定了监测资源应当投在扩大覆盖、延长观测期还是统一报告口径上，而已有的信息量分析主要回答第一个问题。</w:t>
      </w:r>
    </w:p>
    <w:p>
      <w:pPr>
        <w:pStyle w:val="2"/>
        <w:pBdr>
          <w:bottom w:val="single" w:color="FF435F" w:sz="8" w:space="5"/>
        </w:pBdr>
      </w:pPr>
      <w:bookmarkStart w:id="1002" w:name="_ApevonHeading2"/>
      <w:r>
        <w:rPr>
          <w:rFonts w:ascii="Times New Roman" w:hAnsi="Times New Roman" w:eastAsia="Songti SC"/>
        </w:rPr>
        <w:t>2 理论主线</w:t>
      </w:r>
      <w:bookmarkEnd w:id="1002"/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模型中 </w:t>
      </w:r>
      <m:oMath xmlns:m="http://schemas.openxmlformats.org/officeDocument/2006/math">
        <m:r>
          <m:t>m</m:t>
        </m:r>
        <m:r>
          <m:rPr>
            <m:sty m:val="p"/>
          </m:rPr>
          <m:t>=</m:t>
        </m:r>
        <m:r>
          <m:t>ρ</m:t>
        </m:r>
        <m:r>
          <m:t>n</m:t>
        </m:r>
      </m:oMath>
      <w:r>
        <w:rPr>
          <w:rFonts w:ascii="Times New Roman" w:hAnsi="Times New Roman" w:eastAsia="Songti SC"/>
        </w:rPr>
        <w:t xml:space="preserve"> 是预计报告规模，</w:t>
      </w:r>
      <m:oMath xmlns:m="http://schemas.openxmlformats.org/officeDocument/2006/math">
        <m:r>
          <m:t>ρ</m:t>
        </m:r>
      </m:oMath>
      <w:r>
        <w:rPr>
          <w:rFonts w:ascii="Times New Roman" w:hAnsi="Times New Roman" w:eastAsia="Songti SC"/>
        </w:rPr>
        <w:t xml:space="preserve"> 为报告率，</w:t>
      </w:r>
      <m:oMath xmlns:m="http://schemas.openxmlformats.org/officeDocument/2006/math">
        <m:r>
          <m:t>k</m:t>
        </m:r>
      </m:oMath>
      <w:r>
        <w:rPr>
          <w:rFonts w:ascii="Times New Roman" w:hAnsi="Times New Roman" w:eastAsia="Songti SC"/>
        </w:rPr>
        <w:t xml:space="preserve"> 为负二项离散参数。我把估计目标分成两个：估计目标1 是当期的瞬时再生数 </w:t>
      </w:r>
      <m:oMath xmlns:m="http://schemas.openxmlformats.org/officeDocument/2006/math"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Songti SC"/>
        </w:rPr>
        <w:t xml:space="preserve">，估计目标2 是跨期均值 </w:t>
      </w:r>
      <m:oMath xmlns:m="http://schemas.openxmlformats.org/officeDocument/2006/math">
        <m:bar>
          <m:barPr>
            <m:pos m:val="top"/>
          </m:barPr>
          <m:e>
            <m:r>
              <m:t>R</m:t>
            </m:r>
          </m:e>
        </m:bar>
      </m:oMath>
      <w:r>
        <w:rPr>
          <w:rFonts w:ascii="Times New Roman" w:hAnsi="Times New Roman" w:eastAsia="Songti SC"/>
        </w:rPr>
        <w:t xml:space="preserve">。命题 1（第 8 页）说明，对估计目标1，</w:t>
      </w:r>
      <m:oMath xmlns:m="http://schemas.openxmlformats.org/officeDocument/2006/math"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∕</m:t>
        </m:r>
        <m:r>
          <m:t>m</m:t>
        </m:r>
      </m:oMath>
      <w:r>
        <w:rPr>
          <w:rFonts w:ascii="Times New Roman" w:hAnsi="Times New Roman" w:eastAsia="Songti SC"/>
        </w:rPr>
        <w:t xml:space="preserve"> 在任意规模下都达到 Cramér–Rao 下界，Fisher 信息为 </w:t>
      </w:r>
      <m:oMath xmlns:m="http://schemas.openxmlformats.org/officeDocument/2006/math">
        <m:r>
          <m:t>I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∕</m:t>
            </m:r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ρ</m:t>
                </m:r>
                <m:sSub>
                  <m:e>
                    <m:r>
                      <m:t>R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∕</m:t>
                </m:r>
                <m:r>
                  <m:t>k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Songti SC"/>
        </w:rPr>
        <w:t xml:space="preserve">。这是标准结果，我在论文里也按标准结果写。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论文的核心是命题 2（第 9 页）的式 (14)，即 </w:t>
      </w:r>
      <m:oMath xmlns:m="http://schemas.openxmlformats.org/officeDocument/2006/math">
        <m:r>
          <m:t>V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A</m:t>
        </m:r>
        <m:r>
          <m:rPr>
            <m:sty m:val="p"/>
          </m:rPr>
          <m:t>∕</m:t>
        </m:r>
        <m:r>
          <m:t>m</m:t>
        </m:r>
      </m:oMath>
      <w:r>
        <w:rPr>
          <w:rFonts w:ascii="Times New Roman" w:hAnsi="Times New Roman" w:eastAsia="Songti SC"/>
        </w:rPr>
        <w:t xml:space="preserve">，其中 </w:t>
      </w:r>
      <m:oMath xmlns:m="http://schemas.openxmlformats.org/officeDocument/2006/math">
        <m:sSub>
          <m:e>
            <m:r>
              <m:t>v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Songti SC"/>
        </w:rPr>
        <w:t xml:space="preserve"> 是各期 </w:t>
      </w:r>
      <m:oMath xmlns:m="http://schemas.openxmlformats.org/officeDocument/2006/math"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Songti SC"/>
        </w:rPr>
        <w:t xml:space="preserve"> 的环境方差，</w:t>
      </w:r>
      <m:oMath xmlns:m="http://schemas.openxmlformats.org/officeDocument/2006/math">
        <m:r>
          <m:t>A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R</m:t>
            </m:r>
          </m:e>
        </m:bar>
        <m:r>
          <m:rPr>
            <m:sty m:val="p"/>
          </m:rPr>
          <m:t>+</m:t>
        </m:r>
        <m:r>
          <m:t>ρ</m:t>
        </m:r>
        <m:d>
          <m:dPr>
            <m:begChr m:val="("/>
            <m:endChr m:val=")"/>
            <m:sepChr m:val=""/>
            <m:grow/>
          </m:dPr>
          <m:e>
            <m:sSup>
              <m:e>
                <m:bar>
                  <m:barPr>
                    <m:pos m:val="top"/>
                  </m:barPr>
                  <m:e>
                    <m:r>
                      <m:t>R</m:t>
                    </m:r>
                  </m:e>
                </m:ba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R</m:t>
                </m:r>
              </m:sub>
            </m:sSub>
          </m:e>
        </m:d>
        <m:r>
          <m:rPr>
            <m:sty m:val="p"/>
          </m:rPr>
          <m:t>∕</m:t>
        </m:r>
        <m:r>
          <m:t>k</m:t>
        </m:r>
      </m:oMath>
      <w:r>
        <w:rPr>
          <w:rFonts w:ascii="Times New Roman" w:hAnsi="Times New Roman" w:eastAsia="Songti SC"/>
        </w:rPr>
        <w:t xml:space="preserve">。第二项是抽样误差，恰好等于 </w:t>
      </w:r>
      <m:oMath xmlns:m="http://schemas.openxmlformats.org/officeDocument/2006/math"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∕</m:t>
            </m:r>
            <m:r>
              <m:t>I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R</m:t>
                    </m:r>
                  </m:e>
                  <m:sub>
                    <m:r>
                      <m:t>t</m:t>
                    </m:r>
                  </m:sub>
                </m:sSub>
              </m:e>
            </m:d>
          </m:e>
        </m:d>
      </m:oMath>
      <w:r>
        <w:rPr>
          <w:rFonts w:ascii="Times New Roman" w:hAnsi="Times New Roman" w:eastAsia="Songti SC"/>
        </w:rPr>
        <w:t xml:space="preserve">，随规模下降；第一项与规模无关。这个结论有明确的适用范围，我在首次出现处都写了出来。它是对 </w:t>
      </w:r>
      <m:oMath xmlns:m="http://schemas.openxmlformats.org/officeDocument/2006/math"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Songti SC"/>
        </w:rPr>
        <w:t xml:space="preserve"> 条件无偏的估计量类中的最小均方误差。把它解释为一步前瞻预测的最小误差还需要 H4，即下一期 </w:t>
      </w:r>
      <m:oMath xmlns:m="http://schemas.openxmlformats.org/officeDocument/2006/math">
        <m:sSub>
          <m:e>
            <m:r>
              <m:t>R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Songti SC"/>
        </w:rPr>
        <w:t xml:space="preserve"> 与过去信息独立，等价于 AR(1) 系数 </w:t>
      </w:r>
      <m:oMath xmlns:m="http://schemas.openxmlformats.org/officeDocument/2006/math">
        <m:r>
          <m:t>φ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Songti SC"/>
        </w:rPr>
        <w:t xml:space="preserve">。若 </w:t>
      </w:r>
      <m:oMath xmlns:m="http://schemas.openxmlformats.org/officeDocument/2006/math">
        <m:bar>
          <m:barPr>
            <m:pos m:val="top"/>
          </m:barPr>
          <m:e>
            <m:r>
              <m:t>R</m:t>
            </m:r>
          </m:e>
        </m:bar>
      </m:oMath>
      <w:r>
        <w:rPr>
          <w:rFonts w:ascii="Times New Roman" w:hAnsi="Times New Roman" w:eastAsia="Songti SC"/>
        </w:rPr>
        <w:t xml:space="preserve"> 由 </w:t>
      </w:r>
      <m:oMath xmlns:m="http://schemas.openxmlformats.org/officeDocument/2006/math"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Songti SC"/>
        </w:rPr>
        <w:t xml:space="preserve"> 期数据估计，预测误差再乘以 </w:t>
      </w:r>
      <m:oMath xmlns:m="http://schemas.openxmlformats.org/officeDocument/2006/math"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∕</m:t>
            </m:r>
            <m:sSub>
              <m:e>
                <m:r>
                  <m:t>T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rFonts w:ascii="Times New Roman" w:hAnsi="Times New Roman" w:eastAsia="Songti SC"/>
        </w:rPr>
        <w:t xml:space="preserve">。</w:t>
      </w:r>
      <m:oMath xmlns:m="http://schemas.openxmlformats.org/officeDocument/2006/math">
        <m:r>
          <m:t>φ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Songti SC"/>
        </w:rPr>
        <w:t xml:space="preserve"> 时不可约部分降为 </w:t>
      </w:r>
      <m:oMath xmlns:m="http://schemas.openxmlformats.org/officeDocument/2006/math"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φ</m:t>
                </m:r>
              </m:e>
              <m:sup>
                <m:r>
                  <m:t>2</m:t>
                </m:r>
              </m:sup>
            </m:sSup>
          </m:e>
        </m:d>
        <m:sSub>
          <m:e>
            <m:r>
              <m:t>v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Songti SC"/>
        </w:rPr>
        <w:t xml:space="preserve">（式 (6)、(7)，第 5 页），允许条件偏差的收缩估计也可以低于 </w:t>
      </w:r>
      <m:oMath xmlns:m="http://schemas.openxmlformats.org/officeDocument/2006/math">
        <m:sSub>
          <m:e>
            <m:r>
              <m:t>v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Songti SC"/>
        </w:rPr>
        <w:t xml:space="preserve">（补充材料 S1.11）。两项相等处的规模 </w:t>
      </w:r>
      <m:oMath xmlns:m="http://schemas.openxmlformats.org/officeDocument/2006/math">
        <m:sSub>
          <m:e>
            <m:r>
              <m:t>m</m:t>
            </m:r>
          </m:e>
          <m:sub>
            <m:r>
              <m:rPr>
                <m:sty m:val="p"/>
              </m:rPr>
              <m:t>×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∕</m:t>
        </m:r>
        <m:sSub>
          <m:e>
            <m:r>
              <m:t>v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Songti SC"/>
        </w:rPr>
        <w:t xml:space="preserve"> 我称为方差平衡规模，图示参数（</w:t>
      </w:r>
      <m:oMath xmlns:m="http://schemas.openxmlformats.org/officeDocument/2006/math">
        <m:bar>
          <m:barPr>
            <m:pos m:val="top"/>
          </m:barPr>
          <m:e>
            <m:r>
              <m:t>R</m:t>
            </m:r>
          </m:e>
        </m:bar>
        <m:r>
          <m:rPr>
            <m:sty m:val="p"/>
          </m:rPr>
          <m:t>=</m:t>
        </m:r>
        <m:r>
          <m:t>1.15</m:t>
        </m:r>
      </m:oMath>
      <w:r>
        <w:rPr>
          <w:rFonts w:ascii="Times New Roman" w:hAnsi="Times New Roman" w:eastAsia="Songti SC"/>
        </w:rPr>
        <w:t xml:space="preserve">、</w:t>
      </w:r>
      <m:oMath xmlns:m="http://schemas.openxmlformats.org/officeDocument/2006/math"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0.04</m:t>
        </m:r>
      </m:oMath>
      <w:r>
        <w:rPr>
          <w:rFonts w:ascii="Times New Roman" w:hAnsi="Times New Roman" w:eastAsia="Songti SC"/>
        </w:rPr>
        <w:t xml:space="preserve">、</w:t>
      </w:r>
      <m:oMath xmlns:m="http://schemas.openxmlformats.org/officeDocument/2006/math">
        <m:r>
          <m:t>k</m:t>
        </m:r>
        <m:r>
          <m:rPr>
            <m:sty m:val="p"/>
          </m:rPr>
          <m:t>=</m:t>
        </m:r>
        <m:r>
          <m:t>0.35</m:t>
        </m:r>
      </m:oMath>
      <w:r>
        <w:rPr>
          <w:rFonts w:ascii="Times New Roman" w:hAnsi="Times New Roman" w:eastAsia="Songti SC"/>
        </w:rPr>
        <w:t xml:space="preserve">、</w:t>
      </w:r>
      <m:oMath xmlns:m="http://schemas.openxmlformats.org/officeDocument/2006/math">
        <m:r>
          <m:t>ρ</m:t>
        </m:r>
        <m:r>
          <m:rPr>
            <m:sty m:val="p"/>
          </m:rPr>
          <m:t>=</m:t>
        </m:r>
        <m:r>
          <m:t>0.25</m:t>
        </m:r>
      </m:oMath>
      <w:r>
        <w:rPr>
          <w:rFonts w:ascii="Times New Roman" w:hAnsi="Times New Roman" w:eastAsia="Songti SC"/>
        </w:rPr>
        <w:t xml:space="preserve">）下为 53.1。规模低于它时扩大监测收益明显，高于它时收益迅速变小：规模翻倍使方差下降的比例在 </w:t>
      </w:r>
      <m:oMath xmlns:m="http://schemas.openxmlformats.org/officeDocument/2006/math">
        <m:r>
          <m:t>m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Songti SC"/>
        </w:rPr>
        <w:t xml:space="preserve">、53.1、200 时依次为 42.1%、25.0%、10.5%。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命题 4（第 12 页）让报告率 </w:t>
      </w:r>
      <m:oMath xmlns:m="http://schemas.openxmlformats.org/officeDocument/2006/math"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Songti SC"/>
        </w:rPr>
        <w:t xml:space="preserve"> 随期波动，并假设它与 </w:t>
      </w:r>
      <m:oMath xmlns:m="http://schemas.openxmlformats.org/officeDocument/2006/math"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Songti SC"/>
        </w:rPr>
        <w:t xml:space="preserve"> 独立（H5）。式 (20) 给出 </w:t>
      </w:r>
      <m:oMath xmlns:m="http://schemas.openxmlformats.org/officeDocument/2006/math"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H</m:t>
            </m:r>
          </m:sub>
        </m:sSub>
        <m:r>
          <m:rPr>
            <m:sty m:val="p"/>
          </m:rPr>
          <m:t>∕</m:t>
        </m:r>
        <m:r>
          <m:t>m</m:t>
        </m:r>
      </m:oMath>
      <w:r>
        <w:rPr>
          <w:rFonts w:ascii="Times New Roman" w:hAnsi="Times New Roman" w:eastAsia="Songti SC"/>
        </w:rPr>
        <w:t xml:space="preserve">，其中 </w:t>
      </w:r>
      <m:oMath xmlns:m="http://schemas.openxmlformats.org/officeDocument/2006/math"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p>
          <m:e>
            <m:r>
              <m:t>τ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bar>
                  <m:barPr>
                    <m:pos m:val="top"/>
                  </m:barPr>
                  <m:e>
                    <m:r>
                      <m:t>R</m:t>
                    </m:r>
                  </m:e>
                </m:ba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R</m:t>
                </m:r>
              </m:sub>
            </m:sSub>
          </m:e>
        </m:d>
      </m:oMath>
      <w:r>
        <w:rPr>
          <w:rFonts w:ascii="Times New Roman" w:hAnsi="Times New Roman" w:eastAsia="Songti SC"/>
        </w:rPr>
        <w:t xml:space="preserve">，</w:t>
      </w:r>
      <m:oMath xmlns:m="http://schemas.openxmlformats.org/officeDocument/2006/math">
        <m:r>
          <m:t>τ</m:t>
        </m:r>
      </m:oMath>
      <w:r>
        <w:rPr>
          <w:rFonts w:ascii="Times New Roman" w:hAnsi="Times New Roman" w:eastAsia="Songti SC"/>
        </w:rPr>
        <w:t xml:space="preserve"> 是报告率的变异系数。</w:t>
      </w:r>
      <m:oMath xmlns:m="http://schemas.openxmlformats.org/officeDocument/2006/math"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Songti SC"/>
        </w:rPr>
        <w:t xml:space="preserve"> 同样与规模无关，所以不可约误差有环境和报告两个来源。</w:t>
      </w:r>
      <m:oMath xmlns:m="http://schemas.openxmlformats.org/officeDocument/2006/math">
        <m:r>
          <m:t>τ</m:t>
        </m:r>
        <m:r>
          <m:rPr>
            <m:sty m:val="p"/>
          </m:rPr>
          <m:t>=</m:t>
        </m:r>
        <m:r>
          <m:t>0.15</m:t>
        </m:r>
      </m:oMath>
      <w:r>
        <w:rPr>
          <w:rFonts w:ascii="Times New Roman" w:hAnsi="Times New Roman" w:eastAsia="Songti SC"/>
        </w:rPr>
        <w:t xml:space="preserve"> 时 </w:t>
      </w:r>
      <m:oMath xmlns:m="http://schemas.openxmlformats.org/officeDocument/2006/math">
        <m:sSub>
          <m:e>
            <m:r>
              <m:t>v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0.0307</m:t>
        </m:r>
      </m:oMath>
      <w:r>
        <w:rPr>
          <w:rFonts w:ascii="Times New Roman" w:hAnsi="Times New Roman" w:eastAsia="Songti SC"/>
        </w:rPr>
        <w:t xml:space="preserve">，平衡规模从 53.1 降到 30.4。三条杠杆由此而来：扩大规模只压低 </w:t>
      </w:r>
      <m:oMath xmlns:m="http://schemas.openxmlformats.org/officeDocument/2006/math">
        <m:sSub>
          <m:e>
            <m:r>
              <m:t>A</m:t>
            </m:r>
          </m:e>
          <m:sub>
            <m:r>
              <m:t>H</m:t>
            </m:r>
          </m:sub>
        </m:sSub>
        <m:r>
          <m:rPr>
            <m:sty m:val="p"/>
          </m:rPr>
          <m:t>∕</m:t>
        </m:r>
        <m:r>
          <m:t>m</m:t>
        </m:r>
      </m:oMath>
      <w:r>
        <w:rPr>
          <w:rFonts w:ascii="Times New Roman" w:hAnsi="Times New Roman" w:eastAsia="Songti SC"/>
        </w:rPr>
        <w:t xml:space="preserve">，增加期数压低均值的估计误差，只有统一报告口径能去掉 </w:t>
      </w:r>
      <m:oMath xmlns:m="http://schemas.openxmlformats.org/officeDocument/2006/math"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Songti SC"/>
        </w:rPr>
        <w:t xml:space="preserve">。命题 6（第 14 页，式 (27)）在 </w:t>
      </w:r>
      <m:oMath xmlns:m="http://schemas.openxmlformats.org/officeDocument/2006/math">
        <m:r>
          <m:t>T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Songti SC"/>
        </w:rPr>
        <w:t xml:space="preserve">、</w:t>
      </w:r>
      <m:oMath xmlns:m="http://schemas.openxmlformats.org/officeDocument/2006/math">
        <m:r>
          <m:t>m</m:t>
        </m:r>
        <m:r>
          <m:rPr>
            <m:sty m:val="p"/>
          </m:rPr>
          <m:t>=</m:t>
        </m:r>
        <m:r>
          <m:t>50</m:t>
        </m:r>
      </m:oMath>
      <w:r>
        <w:rPr>
          <w:rFonts w:ascii="Times New Roman" w:hAnsi="Times New Roman" w:eastAsia="Songti SC"/>
        </w:rPr>
        <w:t xml:space="preserve"> 的基线下比较三者，规模扩大到 10 倍的效果不如期数增加到 4 倍；报告偏差在各期持续存在时，增加期数也无济于事。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设计部分从命题 3（第 10 页）开始。独立环境下成本最优规模为 </w:t>
      </w:r>
      <m:oMath xmlns:m="http://schemas.openxmlformats.org/officeDocument/2006/math">
        <m:sSup>
          <m:e>
            <m:r>
              <m:t>m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ad>
          <m:radPr>
            <m:degHide m:val="1"/>
          </m:radPr>
          <m:deg/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∕</m:t>
                </m:r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×</m:t>
                </m:r>
              </m:sub>
            </m:sSub>
          </m:e>
        </m:rad>
      </m:oMath>
      <w:r>
        <w:rPr>
          <w:rFonts w:ascii="Times New Roman" w:hAnsi="Times New Roman" w:eastAsia="Songti SC"/>
        </w:rPr>
        <w:t xml:space="preserve">（式 (17)），</w:t>
      </w:r>
      <m:oMath xmlns:m="http://schemas.openxmlformats.org/officeDocument/2006/math"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Songti SC"/>
        </w:rPr>
        <w:t xml:space="preserve"> 和 </w:t>
      </w:r>
      <m:oMath xmlns:m="http://schemas.openxmlformats.org/officeDocument/2006/math"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Songti SC"/>
        </w:rPr>
        <w:t xml:space="preserve"> 分别是每期固定成本和单位报告成本，这与 Cochran 的两阶段抽样同构。命题 7（第 14 页）把它推广到 AR(1) 环境，式 (28)–(29) 给出预算阈值 </w:t>
      </w:r>
      <m:oMath xmlns:m="http://schemas.openxmlformats.org/officeDocument/2006/math">
        <m:sSup>
          <m:e>
            <m:r>
              <m:t>B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rPr>
          <w:rFonts w:ascii="Times New Roman" w:hAnsi="Times New Roman" w:eastAsia="Songti SC"/>
        </w:rPr>
        <w:t xml:space="preserve">：预算低于阈值时应选更少、更大的期，远高于阈值时才回到大预算近似。取 </w:t>
      </w:r>
      <m:oMath xmlns:m="http://schemas.openxmlformats.org/officeDocument/2006/math"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∕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Songti SC"/>
        </w:rPr>
        <w:t xml:space="preserve">，</w:t>
      </w:r>
      <m:oMath xmlns:m="http://schemas.openxmlformats.org/officeDocument/2006/math">
        <m:r>
          <m:t>φ</m:t>
        </m:r>
        <m:r>
          <m:rPr>
            <m:sty m:val="p"/>
          </m:rPr>
          <m:t>=</m:t>
        </m:r>
        <m:r>
          <m:t>0.8</m:t>
        </m:r>
      </m:oMath>
      <w:r>
        <w:rPr>
          <w:rFonts w:ascii="Times New Roman" w:hAnsi="Times New Roman" w:eastAsia="Songti SC"/>
        </w:rPr>
        <w:t xml:space="preserve"> 时阈值为 775；预算为 600 时整数最优是 </w:t>
      </w:r>
      <m:oMath xmlns:m="http://schemas.openxmlformats.org/officeDocument/2006/math">
        <m:r>
          <m:t>T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Songti SC"/>
        </w:rPr>
        <w:t xml:space="preserve">、</w:t>
      </w:r>
      <m:oMath xmlns:m="http://schemas.openxmlformats.org/officeDocument/2006/math">
        <m:r>
          <m:t>m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Songti SC"/>
        </w:rPr>
        <w:t xml:space="preserve">，模拟方差 0.0403，按大预算近似取 </w:t>
      </w:r>
      <m:oMath xmlns:m="http://schemas.openxmlformats.org/officeDocument/2006/math">
        <m:r>
          <m:t>T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eastAsia="Songti SC"/>
        </w:rPr>
        <w:t xml:space="preserve">、</w:t>
      </w:r>
      <m:oMath xmlns:m="http://schemas.openxmlformats.org/officeDocument/2006/math">
        <m:r>
          <m:t>m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Songti SC"/>
        </w:rPr>
        <w:t xml:space="preserve"> 则为 0.0504。</w:t>
      </w:r>
    </w:p>
    <w:p>
      <w:pPr>
        <w:pStyle w:val="2"/>
        <w:pBdr>
          <w:bottom w:val="single" w:color="FF435F" w:sz="8" w:space="5"/>
        </w:pBdr>
      </w:pPr>
      <w:bookmarkStart w:id="1003" w:name="_ApevonHeading3"/>
      <w:r>
        <w:rPr>
          <w:rFonts w:ascii="Times New Roman" w:hAnsi="Times New Roman" w:eastAsia="Songti SC"/>
        </w:rPr>
        <w:t>3 与 Parag 等 2022 年工作的关系</w:t>
      </w:r>
      <w:bookmarkEnd w:id="1003"/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Parag、Donnelly 和 Zarebski 2022 年在 Nature Computational Science 的文章（论文文献 [15]）研究带噪声的流行曲线含有多少关于 </w:t>
      </w:r>
      <m:oMath xmlns:m="http://schemas.openxmlformats.org/officeDocument/2006/math"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Songti SC"/>
        </w:rPr>
        <w:t xml:space="preserve"> 的信息，其式 (15)（第 592 页）为 </w:t>
      </w:r>
      <m:oMath xmlns:m="http://schemas.openxmlformats.org/officeDocument/2006/math">
        <m:sSub>
          <m:e>
            <m:r>
              <m:t>F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t</m:t>
            </m:r>
          </m:sub>
        </m:sSub>
        <m:sSub>
          <m:e>
            <m:r>
              <m:t>F</m:t>
            </m:r>
          </m:e>
          <m:sub>
            <m:r>
              <m:t>τ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∕</m:t>
        </m:r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Songti SC"/>
        </w:rPr>
        <w:t xml:space="preserve">。我的模型没有报告延迟，取 </w:t>
      </w:r>
      <m:oMath xmlns:m="http://schemas.openxmlformats.org/officeDocument/2006/math"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n</m:t>
        </m:r>
      </m:oMath>
      <w:r>
        <w:rPr>
          <w:rFonts w:ascii="Times New Roman" w:hAnsi="Times New Roman" w:eastAsia="Songti SC"/>
        </w:rPr>
        <w:t xml:space="preserve">、</w:t>
      </w:r>
      <m:oMath xmlns:m="http://schemas.openxmlformats.org/officeDocument/2006/math">
        <m:r>
          <m:t>F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Songti SC"/>
        </w:rPr>
        <w:t xml:space="preserve">、</w:t>
      </w:r>
      <m:oMath xmlns:m="http://schemas.openxmlformats.org/officeDocument/2006/math">
        <m:sSub>
          <m:e>
            <m:r>
              <m:t>ρ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ρ</m:t>
        </m:r>
      </m:oMath>
      <w:r>
        <w:rPr>
          <w:rFonts w:ascii="Times New Roman" w:hAnsi="Times New Roman" w:eastAsia="Songti SC"/>
        </w:rPr>
        <w:t xml:space="preserve"> 并令 </w:t>
      </w:r>
      <m:oMath xmlns:m="http://schemas.openxmlformats.org/officeDocument/2006/math"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Songti SC"/>
        </w:rPr>
        <w:t xml:space="preserve">，命题 1 的信息量就回到 </w:t>
      </w:r>
      <m:oMath xmlns:m="http://schemas.openxmlformats.org/officeDocument/2006/math">
        <m:r>
          <m:t>m</m:t>
        </m:r>
        <m:r>
          <m:rPr>
            <m:sty m:val="p"/>
          </m:rPr>
          <m:t>∕</m:t>
        </m:r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Songti SC"/>
        </w:rPr>
        <w:t xml:space="preserve">，与该式逐项一致。因此估计目标1 这部分用的是标准工具，负二项下的 Fisher 信息也是已知结果，我不把它算作贡献。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他们的核心量是多期总信息与几何均值 </w:t>
      </w:r>
      <m:oMath xmlns:m="http://schemas.openxmlformats.org/officeDocument/2006/math">
        <m:r>
          <m:t>θ</m:t>
        </m:r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</m:e>
        </m:d>
      </m:oMath>
      <w:r>
        <w:rPr>
          <w:rFonts w:ascii="Times New Roman" w:hAnsi="Times New Roman" w:eastAsia="Songti SC"/>
        </w:rPr>
        <w:t xml:space="preserve">（式 (5)，第 587 页），处理的是时变报告率与延迟。我的模型中 </w:t>
      </w:r>
      <m:oMath xmlns:m="http://schemas.openxmlformats.org/officeDocument/2006/math">
        <m:r>
          <m:t>ρ</m:t>
        </m:r>
      </m:oMath>
      <w:r>
        <w:rPr>
          <w:rFonts w:ascii="Times New Roman" w:hAnsi="Times New Roman" w:eastAsia="Songti SC"/>
        </w:rPr>
        <w:t xml:space="preserve"> 不随时间变、没有延迟，所以我不说推广了这两个量。两篇的条件也有差别：Parag 把报告率取为 Beta 分布，信息只依赖几何均值（第 586–588 页），对任意参数都有限；我在命题 4(iv) 观测报告率的情形下用到 </w:t>
      </w:r>
      <m:oMath xmlns:m="http://schemas.openxmlformats.org/officeDocument/2006/math"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∕</m:t>
            </m:r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e>
        </m:d>
      </m:oMath>
      <w:r>
        <w:rPr>
          <w:rFonts w:ascii="Times New Roman" w:hAnsi="Times New Roman" w:eastAsia="Songti SC"/>
        </w:rPr>
        <w:t xml:space="preserve">，要求 </w:t>
      </w:r>
      <m:oMath xmlns:m="http://schemas.openxmlformats.org/officeDocument/2006/math">
        <m:r>
          <m:t>ρ</m:t>
        </m:r>
        <m:r>
          <m:t>ν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Songti SC"/>
        </w:rPr>
        <w:t xml:space="preserve">，这是我的矩估计量带来的更强条件。他们在第 585 页同样假设各期 </w:t>
      </w:r>
      <m:oMath xmlns:m="http://schemas.openxmlformats.org/officeDocument/2006/math"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Songti SC"/>
        </w:rPr>
        <w:t xml:space="preserve"> 独立，并在第 591 页承认这一假设可能不成立，我把预测等价限定在 </w:t>
      </w:r>
      <m:oMath xmlns:m="http://schemas.openxmlformats.org/officeDocument/2006/math">
        <m:r>
          <m:t>φ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Songti SC"/>
        </w:rPr>
        <w:t xml:space="preserve">，与这一处理一致。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我认为论文真正新的结果有四项，上一轮审稿意见的评价是“新但初等”，我同意。推论 1（第 12 页，式 (24)）给出覆盖率与报告率边际效果的反转阈值：二项型波动下当 </w:t>
      </w:r>
      <m:oMath xmlns:m="http://schemas.openxmlformats.org/officeDocument/2006/math">
        <m:r>
          <m:t>m</m:t>
        </m:r>
        <m:r>
          <m:rPr>
            <m:sty m:val="p"/>
          </m:rPr>
          <m:t>&gt;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t>ν</m:t>
        </m:r>
        <m:r>
          <m:rPr>
            <m:sty m:val="p"/>
          </m:rPr>
          <m:t>∕</m:t>
        </m:r>
        <m:r>
          <m:t>k</m:t>
        </m:r>
      </m:oMath>
      <w:r>
        <w:rPr>
          <w:rFonts w:ascii="Times New Roman" w:hAnsi="Times New Roman" w:eastAsia="Songti SC"/>
        </w:rPr>
        <w:t xml:space="preserve"> 时排序反转，</w:t>
      </w:r>
      <m:oMath xmlns:m="http://schemas.openxmlformats.org/officeDocument/2006/math">
        <m:r>
          <m:t>ν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Songti SC"/>
        </w:rPr>
        <w:t xml:space="preserve"> 时阈值为 17.9；制度型波动下两者效果之比为 1.87，覆盖率始终占优，而两条途径都去不掉 </w:t>
      </w:r>
      <m:oMath xmlns:m="http://schemas.openxmlformats.org/officeDocument/2006/math">
        <m:sSub>
          <m:e>
            <m:r>
              <m:t>v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Songti SC"/>
        </w:rPr>
        <w:t xml:space="preserve">。命题 4(vi)（式 (23)）给出区分报告噪声与环境波动的截距比特征，纯报告噪声下 </w:t>
      </w:r>
      <m:oMath xmlns:m="http://schemas.openxmlformats.org/officeDocument/2006/math"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0.883</m:t>
            </m:r>
            <m:r>
              <m:rPr>
                <m:sty m:val="p"/>
              </m:rPr>
              <m:t>,</m:t>
            </m:r>
            <m:r>
              <m:t>1.338</m:t>
            </m:r>
          </m:e>
        </m:d>
      </m:oMath>
      <w:r>
        <w:rPr>
          <w:rFonts w:ascii="Times New Roman" w:hAnsi="Times New Roman" w:eastAsia="Songti SC"/>
        </w:rPr>
        <w:t xml:space="preserve">、</w:t>
      </w:r>
      <m:oMath xmlns:m="http://schemas.openxmlformats.org/officeDocument/2006/math"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0.892</m:t>
            </m:r>
            <m:r>
              <m:rPr>
                <m:sty m:val="p"/>
              </m:rPr>
              <m:t>,</m:t>
            </m:r>
            <m:r>
              <m:t>1.374</m:t>
            </m:r>
          </m:e>
        </m:d>
      </m:oMath>
      <w:r>
        <w:rPr>
          <w:rFonts w:ascii="Times New Roman" w:hAnsi="Times New Roman" w:eastAsia="Songti SC"/>
        </w:rPr>
        <w:t xml:space="preserve">。命题 5(iii)（第 13 页，式 (26)）给出 AR(1) 下估计 </w:t>
      </w:r>
      <m:oMath xmlns:m="http://schemas.openxmlformats.org/officeDocument/2006/math">
        <m:sSub>
          <m:e>
            <m:r>
              <m:t>v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Songti SC"/>
        </w:rPr>
        <w:t xml:space="preserve"> 的有效期数 </w:t>
      </w:r>
      <m:oMath xmlns:m="http://schemas.openxmlformats.org/officeDocument/2006/math">
        <m:sSub>
          <m:e>
            <m:r>
              <m:t>T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≈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φ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∕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φ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ascii="Times New Roman" w:hAnsi="Times New Roman" w:eastAsia="Songti SC"/>
        </w:rPr>
        <w:t xml:space="preserve">，</w:t>
      </w:r>
      <m:oMath xmlns:m="http://schemas.openxmlformats.org/officeDocument/2006/math">
        <m:r>
          <m:t>φ</m:t>
        </m:r>
        <m:r>
          <m:rPr>
            <m:sty m:val="p"/>
          </m:rPr>
          <m:t>=</m:t>
        </m:r>
        <m:r>
          <m:t>0.8</m:t>
        </m:r>
      </m:oMath>
      <w:r>
        <w:rPr>
          <w:rFonts w:ascii="Times New Roman" w:hAnsi="Times New Roman" w:eastAsia="Songti SC"/>
        </w:rPr>
        <w:t xml:space="preserve">、</w:t>
      </w:r>
      <m:oMath xmlns:m="http://schemas.openxmlformats.org/officeDocument/2006/math">
        <m:r>
          <m:t>T</m:t>
        </m:r>
        <m:r>
          <m:rPr>
            <m:sty m:val="p"/>
          </m:rPr>
          <m:t>=</m:t>
        </m:r>
        <m:r>
          <m:t>26</m:t>
        </m:r>
      </m:oMath>
      <w:r>
        <w:rPr>
          <w:rFonts w:ascii="Times New Roman" w:hAnsi="Times New Roman" w:eastAsia="Songti SC"/>
        </w:rPr>
        <w:t xml:space="preserve"> 时只有 6.2 期；有限规模修正见补充材料 S1.7（第 35 页，式 (S18)–(S19)），</w:t>
      </w:r>
      <m:oMath xmlns:m="http://schemas.openxmlformats.org/officeDocument/2006/math">
        <m:r>
          <m:t>m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Songti SC"/>
        </w:rPr>
        <w:t xml:space="preserve"> 时一阶展开给出 11.9 倍而精确值为 37.5 倍，所以小规模时必须用精确式。第四项是命题 7 的预算阈值。</w:t>
      </w:r>
    </w:p>
    <w:p>
      <w:pPr>
        <w:pStyle w:val="2"/>
        <w:pBdr>
          <w:bottom w:val="single" w:color="FF435F" w:sz="8" w:space="5"/>
        </w:pBdr>
      </w:pPr>
      <w:bookmarkStart w:id="1004" w:name="_ApevonHeading4"/>
      <w:r>
        <w:rPr>
          <w:rFonts w:ascii="Times New Roman" w:hAnsi="Times New Roman" w:eastAsia="Songti SC"/>
        </w:rPr>
        <w:t>4 证据能支持到哪里</w:t>
      </w:r>
      <w:bookmarkEnd w:id="1004"/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实证用美国国家医疗安全网络 16,218 个州周的流感住院数据，主分析为流行初期的 1,267 个州周。预测误差按 </w:t>
      </w:r>
      <m:oMath xmlns:m="http://schemas.openxmlformats.org/officeDocument/2006/math"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∕</m:t>
        </m:r>
        <m:r>
          <m:t>D</m:t>
        </m:r>
      </m:oMath>
      <w:r>
        <w:rPr>
          <w:rFonts w:ascii="Times New Roman" w:hAnsi="Times New Roman" w:eastAsia="Songti SC"/>
        </w:rPr>
        <w:t xml:space="preserve"> 随规模下降，截距 </w:t>
      </w:r>
      <m:oMath xmlns:m="http://schemas.openxmlformats.org/officeDocument/2006/math">
        <m:r>
          <m:t>a</m:t>
        </m:r>
        <m:r>
          <m:rPr>
            <m:sty m:val="p"/>
          </m:rPr>
          <m:t>=</m:t>
        </m:r>
        <m:r>
          <m:t>0.0991</m:t>
        </m:r>
      </m:oMath>
      <w:r>
        <w:rPr>
          <w:rFonts w:ascii="Times New Roman" w:hAnsi="Times New Roman" w:eastAsia="Songti SC"/>
        </w:rPr>
        <w:t xml:space="preserve">（百分位区间 0.0837–0.1165），隐含的平衡规模落在情景值 21.3–49.2 的范围内。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较强的证据有两条。第一条是截距超出量。截距比本身区分不了机制：日更新、</w:t>
      </w:r>
      <m:oMath xmlns:m="http://schemas.openxmlformats.org/officeDocument/2006/math">
        <m:r>
          <m:t>φ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Songti SC"/>
        </w:rPr>
        <w:t xml:space="preserve"> 的零假设带（108 格）和增长期带都与经验区间相交，单靠入院延迟就能产生 </w:t>
      </w:r>
      <m:oMath xmlns:m="http://schemas.openxmlformats.org/officeDocument/2006/math"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Songti SC"/>
        </w:rPr>
        <w:t xml:space="preserve">，所以我把证据重心放在超出量上（表 3 在第 19 页，图 12 在第 22 页）。第二条是报告调整的等价检验：</w:t>
      </w:r>
      <m:oMath xmlns:m="http://schemas.openxmlformats.org/officeDocument/2006/math">
        <m:r>
          <m:t>Δ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0.0004</m:t>
        </m:r>
      </m:oMath>
      <w:r>
        <w:rPr>
          <w:rFonts w:ascii="Times New Roman" w:hAnsi="Times New Roman" w:eastAsia="Songti SC"/>
        </w:rPr>
        <w:t xml:space="preserve">，90% BCa 区间为 −0.0012 至 0.0005，落在 ±0.0050 的等价界内，区间上端只占超出量 0.0704 的 0.93%。这条结论只覆盖可由填报比例观测到的报告成分；报告率网格仿真显示，该判据看不到与填报比例无关的报告离散。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只到方向一致的证据需要分开看。七个病原与口径组合按预注册判据为复现 0、部分复现 4、方向一致 3；等价检验在 BCa 口径下 5/7 成立，正态近似下 3/7。独立数据中，ILINet 只给出同向的截距比，99.7% 的重抽满足 </w:t>
      </w:r>
      <m:oMath xmlns:m="http://schemas.openxmlformats.org/officeDocument/2006/math"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Songti SC"/>
        </w:rPr>
        <w:t xml:space="preserve">，但病例定义不同；FluSurv-NET 区间太宽，没有信息；HHS Protect 与 NHSN 相关系数 0.995，只能作一致性核对。季层面分量也没有结论：</w:t>
      </w:r>
      <m:oMath xmlns:m="http://schemas.openxmlformats.org/officeDocument/2006/math">
        <m:r>
          <m:t>S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Songti SC"/>
        </w:rPr>
        <w:t xml:space="preserve"> 时随机效应估计为 0.077，区间宽 0.267，推论 2（第 14 页）表明三个季时相对标准误至少为 0.82。</w:t>
      </w:r>
    </w:p>
    <w:p>
      <w:pPr>
        <w:pStyle w:val="2"/>
        <w:pBdr>
          <w:bottom w:val="single" w:color="FF435F" w:sz="8" w:space="5"/>
        </w:pBdr>
      </w:pPr>
      <w:bookmarkStart w:id="1005" w:name="_ApevonHeading5"/>
      <w:r>
        <w:rPr>
          <w:rFonts w:ascii="Times New Roman" w:hAnsi="Times New Roman" w:eastAsia="Songti SC"/>
        </w:rPr>
        <w:t>5 对老师意见的回应与第四轮修改</w:t>
      </w:r>
      <w:bookmarkEnd w:id="1005"/>
    </w:p>
    <w:p>
      <w:pPr>
        <w:pStyle w:val="3"/>
        <w:jc w:val="both"/>
      </w:pPr>
      <w:r>
        <w:rPr>
          <w:rFonts w:ascii="Times New Roman" w:hAnsi="Times New Roman" w:eastAsia="Songti SC"/>
        </w:rPr>
        <w:t>老师之前提的五条意见我都改了。题目在第三轮换成了现在的题目。为去掉 AI 味，我建了主张与证据账本，删去比喻和空泛的连接句。格式参照 Parag 2022 与 Epidemics 范文调整。推导补全后证明移入补充材料 S1，正文第 9 页加了表 1 作为推导路线图。估计目标 A/B 改为估计目标1/2。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>第四轮的修改按优先级分四档。P0 修改措辞、补零假设带，并在首次使用处写明条件。P1 核对参考文献 DOI 并整理复现包，在空目录中按说明重跑，24,812 个数值 0 处不一致。P2 新增补充表 S1–S6。P3 拆分引言，把 9 个命题合并为 7 个，证明全部移到补充材料。</w:t>
      </w:r>
    </w:p>
    <w:p>
      <w:pPr>
        <w:pStyle w:val="2"/>
        <w:pBdr>
          <w:bottom w:val="single" w:color="FF435F" w:sz="8" w:space="5"/>
        </w:pBdr>
      </w:pPr>
      <w:bookmarkStart w:id="1006" w:name="_ApevonHeading6"/>
      <w:r>
        <w:rPr>
          <w:rFonts w:ascii="Times New Roman" w:hAnsi="Times New Roman" w:eastAsia="Songti SC"/>
        </w:rPr>
        <w:t>6 局限与需要老师决定的事</w:t>
      </w:r>
      <w:bookmarkEnd w:id="1006"/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我自己清楚的局限有四处。理论假设 </w:t>
      </w:r>
      <m:oMath xmlns:m="http://schemas.openxmlformats.org/officeDocument/2006/math">
        <m:r>
          <m:t>k</m:t>
        </m:r>
      </m:oMath>
      <w:r>
        <w:rPr>
          <w:rFonts w:ascii="Times New Roman" w:hAnsi="Times New Roman" w:eastAsia="Songti SC"/>
        </w:rPr>
        <w:t xml:space="preserve"> 与 </w:t>
      </w:r>
      <m:oMath xmlns:m="http://schemas.openxmlformats.org/officeDocument/2006/math">
        <m:r>
          <m:t>ρ</m:t>
        </m:r>
      </m:oMath>
      <w:r>
        <w:rPr>
          <w:rFonts w:ascii="Times New Roman" w:hAnsi="Times New Roman" w:eastAsia="Songti SC"/>
        </w:rPr>
        <w:t xml:space="preserve"> 已知且没有报告延迟，H5 的独立性在第 28 页单独讨论过，实际数据未必满足。四项新结果都是初等推导。截距超出量的来源至今没有识别。篇幅上，引言至参考文献为 30 页，超出 28 页的目标；全文 16 张图，范文只有 5 张。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>需要老师决定的有五件事。其一是目标期刊是否仍为 Epidemics，篇幅是否还要压缩。其二是代码与数据是否在 Zenodo 存档并取得 DOI，这需要作者账号。其三是资助声明，目前写的是“本研究未获得专项资助。”，请老师确认；重新分析中用了 AI 工具，使用声明的措辞也要按期刊政策定。其四是是否现在投稿。其五是后续工作：我打算把 anytime-valid 推断另做一篇；英文版和图的精简放到改投英文期刊时一并完成。</w:t>
      </w:r>
    </w:p>
    <w:p>
      <w:pPr>
        <w:pStyle w:val="2"/>
        <w:pBdr>
          <w:bottom w:val="single" w:color="FF435F" w:sz="8" w:space="5"/>
        </w:pBdr>
      </w:pPr>
      <w:bookmarkStart w:id="1007" w:name="_ApevonHeading7"/>
      <w:r>
        <w:rPr>
          <w:rFonts w:ascii="Times New Roman" w:hAnsi="Times New Roman" w:eastAsia="Songti SC"/>
        </w:rPr>
        <w:t>7 老师可能会问的问题</w:t>
      </w:r>
      <w:bookmarkEnd w:id="1007"/>
    </w:p>
    <w:p>
      <w:pPr>
        <w:pStyle w:val="3"/>
        <w:jc w:val="both"/>
      </w:pPr>
      <w:r>
        <w:rPr>
          <w:rFonts w:ascii="Times New Roman" w:hAnsi="Times New Roman" w:eastAsia="Songti SC"/>
          <w:b/>
        </w:rPr>
        <w:t>问 1：环境方差是模型假设出来的，凭什么说它不可约？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答：不可约是相对于估计量类说的。命题 2(v)（第 9 页）证明，在对 </w:t>
      </w:r>
      <m:oMath xmlns:m="http://schemas.openxmlformats.org/officeDocument/2006/math">
        <m:sSub>
          <m:e>
            <m:r>
              <m:t>R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Songti SC"/>
        </w:rPr>
        <w:t xml:space="preserve"> 条件无偏的估计量中，最小均方误差就是式 (14)。允许偏差的收缩估计可以更低，补充材料 S1.11 给了例子：</w:t>
      </w:r>
      <m:oMath xmlns:m="http://schemas.openxmlformats.org/officeDocument/2006/math">
        <m:r>
          <m:t>m</m:t>
        </m:r>
        <m:r>
          <m:rPr>
            <m:sty m:val="p"/>
          </m:rPr>
          <m:t>=</m:t>
        </m:r>
        <m:r>
          <m:t>50</m:t>
        </m:r>
      </m:oMath>
      <w:r>
        <w:rPr>
          <w:rFonts w:ascii="Times New Roman" w:hAnsi="Times New Roman" w:eastAsia="Songti SC"/>
        </w:rPr>
        <w:t xml:space="preserve"> 时先验中心偏离 </w:t>
      </w:r>
      <m:oMath xmlns:m="http://schemas.openxmlformats.org/officeDocument/2006/math">
        <m:bar>
          <m:barPr>
            <m:pos m:val="top"/>
          </m:barPr>
          <m:e>
            <m:r>
              <m:t>R</m:t>
            </m:r>
          </m:e>
        </m:bar>
      </m:oMath>
      <w:r>
        <w:rPr>
          <w:rFonts w:ascii="Times New Roman" w:hAnsi="Times New Roman" w:eastAsia="Songti SC"/>
        </w:rPr>
        <w:t xml:space="preserve"> 不超过 0.279，收缩估计的均方误差就低于 </w:t>
      </w:r>
      <m:oMath xmlns:m="http://schemas.openxmlformats.org/officeDocument/2006/math"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0.04</m:t>
        </m:r>
      </m:oMath>
      <w:r>
        <w:rPr>
          <w:rFonts w:ascii="Times New Roman" w:hAnsi="Times New Roman" w:eastAsia="Songti SC"/>
        </w:rPr>
        <w:t xml:space="preserve">。所以论文中凡说不可约，都带着这个条件。</w:t>
      </w:r>
    </w:p>
    <w:p>
      <w:pPr>
        <w:pStyle w:val="3"/>
        <w:jc w:val="both"/>
      </w:pPr>
      <w:r>
        <w:rPr>
          <w:rFonts w:ascii="Times New Roman" w:hAnsi="Times New Roman" w:eastAsia="Songti SC"/>
          <w:b/>
        </w:rPr>
        <w:t>问 2：和 Parag 的工作相比，是不是只把泊松换成了负二项？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答：换成负二项本身不算贡献，</w:t>
      </w:r>
      <m:oMath xmlns:m="http://schemas.openxmlformats.org/officeDocument/2006/math"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Songti SC"/>
        </w:rPr>
        <w:t xml:space="preserve"> 时命题 1 回到 Parag 式 (15)（第 592 页）。增量在于加入环境方差与报告异质性、区分两个估计目标，以及由此得到的设计结论，对应式 (14)、(20) 和命题 7。</w:t>
      </w:r>
    </w:p>
    <w:p>
      <w:pPr>
        <w:pStyle w:val="3"/>
        <w:jc w:val="both"/>
      </w:pPr>
      <w:r>
        <w:rPr>
          <w:rFonts w:ascii="Times New Roman" w:hAnsi="Times New Roman" w:eastAsia="Songti SC"/>
          <w:b/>
        </w:rPr>
        <w:t>问 3：实证能证明环境方差存在吗？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>答：不能单独证明。截距比的零假设带与经验区间相交（表 3，第 19 页），能确定的是截距超出量远大于可观测报告成分所能解释的部分，等价检验区间上端只占超出量的 0.93%。超出量来自环境波动还是与填报比例无关的报告离散，现有数据分不开。</w:t>
      </w:r>
    </w:p>
    <w:p>
      <w:pPr>
        <w:pStyle w:val="3"/>
        <w:jc w:val="both"/>
      </w:pPr>
      <w:r>
        <w:rPr>
          <w:rFonts w:ascii="Times New Roman" w:hAnsi="Times New Roman" w:eastAsia="Songti SC"/>
          <w:b/>
        </w:rPr>
        <w:t>问 4：预算阈值对实际监测有什么用？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答：它回答该多设几期还是把每期做大。</w:t>
      </w:r>
      <m:oMath xmlns:m="http://schemas.openxmlformats.org/officeDocument/2006/math">
        <m:r>
          <m:t>φ</m:t>
        </m:r>
        <m:r>
          <m:rPr>
            <m:sty m:val="p"/>
          </m:rPr>
          <m:t>=</m:t>
        </m:r>
        <m:r>
          <m:t>0.8</m:t>
        </m:r>
      </m:oMath>
      <w:r>
        <w:rPr>
          <w:rFonts w:ascii="Times New Roman" w:hAnsi="Times New Roman" w:eastAsia="Songti SC"/>
        </w:rPr>
        <w:t xml:space="preserve">、预算为 600 时，按大预算近似取 </w:t>
      </w:r>
      <m:oMath xmlns:m="http://schemas.openxmlformats.org/officeDocument/2006/math">
        <m:r>
          <m:t>T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eastAsia="Songti SC"/>
        </w:rPr>
        <w:t xml:space="preserve">、</w:t>
      </w:r>
      <m:oMath xmlns:m="http://schemas.openxmlformats.org/officeDocument/2006/math">
        <m:r>
          <m:t>m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Songti SC"/>
        </w:rPr>
        <w:t xml:space="preserve"> 的方差为 0.0504，比整数最优的 0.0403 高约 25%（第 14 页，式 (28)–(29)）。用它需要先从历史数据估计 </w:t>
      </w:r>
      <m:oMath xmlns:m="http://schemas.openxmlformats.org/officeDocument/2006/math">
        <m:sSub>
          <m:e>
            <m:r>
              <m:t>v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Songti SC"/>
        </w:rPr>
        <w:t xml:space="preserve"> 和 </w:t>
      </w:r>
      <m:oMath xmlns:m="http://schemas.openxmlformats.org/officeDocument/2006/math">
        <m:r>
          <m:t>φ</m:t>
        </m:r>
      </m:oMath>
      <w:r>
        <w:rPr>
          <w:rFonts w:ascii="Times New Roman" w:hAnsi="Times New Roman" w:eastAsia="Songti SC"/>
        </w:rPr>
        <w:t xml:space="preserve">，而 </w:t>
      </w:r>
      <m:oMath xmlns:m="http://schemas.openxmlformats.org/officeDocument/2006/math">
        <m:sSub>
          <m:e>
            <m:r>
              <m:t>v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Songti SC"/>
        </w:rPr>
        <w:t xml:space="preserve"> 本身估不准，精度下界见推论 2。</w:t>
      </w:r>
    </w:p>
    <w:p>
      <w:pPr>
        <w:pStyle w:val="3"/>
        <w:jc w:val="both"/>
      </w:pPr>
      <w:r>
        <w:rPr>
          <w:rFonts w:ascii="Times New Roman" w:hAnsi="Times New Roman" w:eastAsia="Songti SC"/>
          <w:b/>
        </w:rPr>
        <w:t>问 5：有效期数这个结果为什么重要？</w:t>
      </w:r>
    </w:p>
    <w:p>
      <w:pPr>
        <w:pStyle w:val="3"/>
        <w:jc w:val="both"/>
      </w:pPr>
      <w:r>
        <w:rPr>
          <w:rFonts w:ascii="Times New Roman" w:hAnsi="Times New Roman" w:eastAsia="Songti SC"/>
        </w:rPr>
        <w:t xml:space="preserve">答：</w:t>
      </w:r>
      <m:oMath xmlns:m="http://schemas.openxmlformats.org/officeDocument/2006/math">
        <m:r>
          <m:t>φ</m:t>
        </m:r>
        <m:r>
          <m:rPr>
            <m:sty m:val="p"/>
          </m:rPr>
          <m:t>=</m:t>
        </m:r>
        <m:r>
          <m:t>0.8</m:t>
        </m:r>
      </m:oMath>
      <w:r>
        <w:rPr>
          <w:rFonts w:ascii="Times New Roman" w:hAnsi="Times New Roman" w:eastAsia="Songti SC"/>
        </w:rPr>
        <w:t xml:space="preserve"> 时，26 期数据估计 </w:t>
      </w:r>
      <m:oMath xmlns:m="http://schemas.openxmlformats.org/officeDocument/2006/math">
        <m:sSub>
          <m:e>
            <m:r>
              <m:t>v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Songti SC"/>
        </w:rPr>
        <w:t xml:space="preserve"> 的信息只相当于 6.2 个独立期，估计均值时为 2.9 期（式 (26)，第 13 页）。按周数计算样本量会高估精度。季层面的分量只有三四个季可用，精度更差，这也是第 4 节说季层面没有结论的原因。</w:t>
      </w:r>
    </w:p>
    <w:sectPr>
      <w:footerReference r:id="rId4" w:type="default"/>
      <w:pgSz w:w="11906" w:h="16838"/>
      <w:pgMar w:top="920" w:right="1053" w:bottom="920" w:left="1053" w:header="390" w:footer="4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roman"/>
    <w:pitch w:val="default"/>
    <w:sig w:usb0="00000001" w:usb1="080F0000" w:usb2="00000000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rFonts w:ascii="Times New Roman" w:hAnsi="Times New Roman" w:eastAsia="Songti SC" w:cs="Times New Roman"/>
        <w:color w:val="000000"/>
        <w:sz w:val="18"/>
      </w:rPr>
      <w:fldChar w:fldCharType="begin"/>
    </w:r>
    <w:r>
      <w:rPr>
        <w:rFonts w:ascii="Times New Roman" w:hAnsi="Times New Roman" w:eastAsia="Songti SC" w:cs="Times New Roman"/>
        <w:color w:val="000000"/>
        <w:sz w:val="18"/>
      </w:rPr>
      <w:instrText xml:space="preserve"> PAGE </w:instrText>
    </w:r>
    <w:r>
      <w:rPr>
        <w:rFonts w:ascii="Times New Roman" w:hAnsi="Times New Roman" w:eastAsia="Songti SC" w:cs="Times New Roman"/>
        <w:color w:val="000000"/>
        <w:sz w:val="18"/>
      </w:rPr>
      <w:fldChar w:fldCharType="separate"/>
    </w:r>
    <w:r>
      <w:rPr>
        <w:rFonts w:ascii="Times New Roman" w:hAnsi="Times New Roman" w:eastAsia="Songti SC" w:cs="Times New Roman"/>
        <w:color w:val="000000"/>
        <w:sz w:val="18"/>
      </w:rPr>
      <w:t>1</w:t>
    </w:r>
    <w:r>
      <w:rPr>
        <w:rFonts w:ascii="Times New Roman" w:hAnsi="Times New Roman" w:eastAsia="Songti SC" w:cs="Times New Roman"/>
        <w:color w:val="000000"/>
        <w:sz w:val="18"/>
      </w:rPr>
      <w:fldChar w:fldCharType="end"/>
    </w:r>
  </w:p>
</w:ftr>
</file>

<file path=word/footer2.xml><?xml version="1.0" encoding="utf-8"?>
<w:ftr xmlns:w="http://schemas.openxmlformats.org/wordprocessingml/2006/main">
  <w:p>
    <w:pPr>
      <w:spacing w:after="0"/>
      <w:jc w:val="center"/>
    </w:pPr>
    <w:r>
      <w:rPr>
        <w:rFonts w:ascii="Times New Roman" w:hAnsi="Times New Roman" w:eastAsia="Songti SC" w:cs="Times New Roman"/>
        <w:color w:val="000000"/>
        <w:sz w:val="18"/>
      </w:rPr>
      <w:fldChar w:fldCharType="begin"/>
    </w:r>
    <w:r>
      <w:rPr>
        <w:rFonts w:ascii="Times New Roman" w:hAnsi="Times New Roman" w:eastAsia="Songti SC" w:cs="Times New Roman"/>
        <w:color w:val="000000"/>
        <w:sz w:val="18"/>
      </w:rPr>
      <w:instrText xml:space="preserve"> PAGE </w:instrText>
    </w:r>
    <w:r>
      <w:rPr>
        <w:rFonts w:ascii="Times New Roman" w:hAnsi="Times New Roman" w:eastAsia="Songti SC" w:cs="Times New Roman"/>
        <w:color w:val="000000"/>
        <w:sz w:val="18"/>
      </w:rPr>
      <w:fldChar w:fldCharType="separate"/>
    </w:r>
    <w:r>
      <w:rPr>
        <w:rFonts w:ascii="Times New Roman" w:hAnsi="Times New Roman" w:eastAsia="Songti SC" w:cs="Times New Roman"/>
        <w:color w:val="000000"/>
        <w:sz w:val="18"/>
      </w:rPr>
      <w:t>1</w:t>
    </w:r>
    <w:r>
      <w:rPr>
        <w:rFonts w:ascii="Times New Roman" w:hAnsi="Times New Roman" w:eastAsia="Songti SC" w:cs="Times New Roman"/>
        <w:color w:val="000000"/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420" w:hanging="360"/>
      </w:pPr>
      <w:rPr>
        <w:rFonts w:ascii="Times New Roman" w:hAnsi="Times New Roman" w:eastAsia="Songti SC" w:cs="Times New Roman" w:hint="eastAsia"/>
      </w:rPr>
    </w:lvl>
    <w:lvl w:ilvl="1">
      <w:start w:val="1"/>
      <w:numFmt w:val="bullet"/>
      <w:lvlText w:val="◦"/>
      <w:lvlJc w:val="left"/>
      <w:pPr>
        <w:ind w:left="840" w:hanging="360"/>
      </w:pPr>
      <w:rPr>
        <w:rFonts w:ascii="Times New Roman" w:hAnsi="Times New Roman" w:eastAsia="Songti SC" w:cs="Times New Roman" w:hint="eastAsia"/>
      </w:rPr>
    </w:lvl>
    <w:lvl w:ilvl="2">
      <w:start w:val="1"/>
      <w:numFmt w:val="bullet"/>
      <w:lvlText w:val="▪"/>
      <w:lvlJc w:val="left"/>
      <w:pPr>
        <w:ind w:left="1260" w:hanging="360"/>
      </w:pPr>
      <w:rPr>
        <w:rFonts w:ascii="Times New Roman" w:hAnsi="Times New Roman" w:eastAsia="Songti SC" w:cs="Times New Roman" w:hint="eastAs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0" w:hanging="360"/>
      </w:pPr>
      <w:rPr>
        <w:rFonts w:ascii="Times New Roman" w:hAnsi="Times New Roman" w:eastAsia="Songti SC" w:cs="Times New Roman" w:hint="eastAsia"/>
      </w:rPr>
    </w:lvl>
    <w:lvl w:ilvl="1">
      <w:start w:val="1"/>
      <w:numFmt w:val="lowerLetter"/>
      <w:lvlText w:val="%2)"/>
      <w:lvlJc w:val="left"/>
      <w:pPr>
        <w:ind w:left="840" w:hanging="360"/>
      </w:pPr>
      <w:rPr>
        <w:rFonts w:ascii="Times New Roman" w:hAnsi="Times New Roman" w:eastAsia="Songti SC" w:cs="Times New Roman" w:hint="eastAsia"/>
      </w:rPr>
    </w:lvl>
    <w:lvl w:ilvl="2">
      <w:start w:val="1"/>
      <w:numFmt w:val="lowerRoman"/>
      <w:lvlText w:val="%3."/>
      <w:lvlJc w:val="left"/>
      <w:pPr>
        <w:ind w:left="1260" w:hanging="360"/>
      </w:pPr>
      <w:rPr>
        <w:rFonts w:ascii="Times New Roman" w:hAnsi="Times New Roman" w:eastAsia="Songti SC" w:cs="Times New Roman" w:hint="eastAsia"/>
      </w:rPr>
    </w:lvl>
  </w:abstractNum>
  <w:num w:numId="101">
    <w:abstractNumId w:val="1"/>
  </w:num>
  <w:num w:numId="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hdrShapeDefaults>
    <o:shapelayout v:ext="edit">
      <o:idmap v:ext="edit" data="3,4"/>
    </o:shapelayout>
  </w:hdrShapeDefaults>
  <w:compat>
    <w:useFELayout/>
    <w:compatSetting w:name="compatibilityMode" w:uri="http://schemas.microsoft.com/office/word" w:val="12"/>
  </w:compat>
  <w:rsids>
    <w:rsidRoot w:val="00000000"/>
    <w:rsid w:val="1EC7F824"/>
    <w:rsid w:val="1FEEB48F"/>
    <w:rsid w:val="35E50BCA"/>
    <w:rsid w:val="3AF7DCD1"/>
    <w:rsid w:val="3F3F1D4B"/>
    <w:rsid w:val="3F5F48B0"/>
    <w:rsid w:val="3F7E7B4D"/>
    <w:rsid w:val="3F7E862A"/>
    <w:rsid w:val="3FF90BCE"/>
    <w:rsid w:val="4B7F5274"/>
    <w:rsid w:val="577F63AE"/>
    <w:rsid w:val="58F619AE"/>
    <w:rsid w:val="6B67875E"/>
    <w:rsid w:val="6BFFF219"/>
    <w:rsid w:val="6F48C434"/>
    <w:rsid w:val="6FC9EE5C"/>
    <w:rsid w:val="73D9E45B"/>
    <w:rsid w:val="73DFA342"/>
    <w:rsid w:val="753F30A7"/>
    <w:rsid w:val="76FE8734"/>
    <w:rsid w:val="77FBC752"/>
    <w:rsid w:val="7AA625CB"/>
    <w:rsid w:val="7D73216B"/>
    <w:rsid w:val="7F8B2FF7"/>
    <w:rsid w:val="B9DFD287"/>
    <w:rsid w:val="BFFE1A6C"/>
    <w:rsid w:val="E35BE8E2"/>
    <w:rsid w:val="E6FEDD15"/>
    <w:rsid w:val="ED6BFCD4"/>
    <w:rsid w:val="EFEB1381"/>
    <w:rsid w:val="F60D2D24"/>
    <w:rsid w:val="FAD0D6EE"/>
    <w:rsid w:val="FCC13BEB"/>
    <w:rsid w:val="FDABD1F0"/>
    <w:rsid w:val="FDBD18F6"/>
    <w:rsid w:val="FE9CC533"/>
    <w:rsid w:val="FEDB0E06"/>
    <w:rsid w:val="FF6D9F9F"/>
    <w:rsid w:val="FF7FEAA1"/>
    <w:rsid w:val="FFCB86D4"/>
    <w:rsid w:val="FFDF30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ongti SC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ongti SC" w:cs="Times New Roman"/>
      <w:color w:val="18263D"/>
      <w:sz w:val="19"/>
      <w:szCs w:val="19"/>
      <w:lang w:val="en-US" w:eastAsia="zh-C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380" w:after="120"/>
      <w:outlineLvl w:val="0"/>
    </w:pPr>
    <w:rPr>
      <w:rFonts w:ascii="Times New Roman" w:hAnsi="Times New Roman" w:eastAsia="Songti SC" w:cs="Times New Roman"/>
      <w:b/>
      <w:color w:val="102449"/>
      <w:sz w:val="32"/>
      <w:szCs w:val="32"/>
    </w:rPr>
  </w:style>
  <w:style w:type="paragraph" w:styleId="4">
    <w:name w:val="heading 2"/>
    <w:basedOn w:val="3"/>
    <w:next w:val="3"/>
    <w:qFormat/>
    <w:uiPriority w:val="9"/>
    <w:pPr>
      <w:keepNext/>
      <w:keepLines/>
      <w:spacing w:before="300" w:after="90"/>
      <w:outlineLvl w:val="1"/>
    </w:pPr>
    <w:rPr>
      <w:rFonts w:ascii="Times New Roman" w:hAnsi="Times New Roman" w:eastAsia="Songti SC" w:cs="Times New Roman"/>
      <w:b/>
      <w:color w:val="1F5BA8"/>
      <w:sz w:val="23"/>
      <w:szCs w:val="23"/>
    </w:rPr>
  </w:style>
  <w:style w:type="paragraph" w:styleId="5">
    <w:name w:val="heading 3"/>
    <w:basedOn w:val="3"/>
    <w:next w:val="3"/>
    <w:qFormat/>
    <w:uiPriority w:val="9"/>
    <w:pPr>
      <w:keepNext/>
      <w:keepLines/>
      <w:spacing w:before="200" w:after="60"/>
      <w:outlineLvl w:val="2"/>
    </w:pPr>
    <w:rPr>
      <w:rFonts w:ascii="Times New Roman" w:hAnsi="Times New Roman" w:eastAsia="Songti SC" w:cs="Times New Roman"/>
      <w:b/>
      <w:color w:val="102449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1"/>
    <w:basedOn w:val="1"/>
    <w:uiPriority w:val="0"/>
    <w:pPr>
      <w:widowControl/>
      <w:spacing w:before="0" w:after="100" w:line="288" w:lineRule="auto"/>
    </w:pPr>
    <w:rPr>
      <w:rFonts w:ascii="Times New Roman" w:hAnsi="Times New Roman" w:eastAsia="Songti SC" w:cs="Times New Roman"/>
      <w:color w:val="18263D"/>
      <w:sz w:val="19"/>
      <w:szCs w:val="19"/>
    </w:rPr>
  </w:style>
  <w:style w:type="paragraph" w:styleId="6">
    <w:name w:val="toc 3"/>
    <w:basedOn w:val="3"/>
    <w:uiPriority w:val="0"/>
    <w:pPr>
      <w:tabs>
        <w:tab w:val="right" w:leader="dot" w:pos="9200"/>
      </w:tabs>
      <w:spacing w:before="0" w:after="0" w:line="300" w:lineRule="atLeast"/>
      <w:ind w:left="920" w:right="500"/>
    </w:pPr>
    <w:rPr>
      <w:rFonts w:ascii="Times New Roman" w:hAnsi="Times New Roman" w:eastAsia="Songti SC" w:cs="Times New Roman"/>
      <w:color w:val="000000"/>
      <w:sz w:val="19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3"/>
    <w:uiPriority w:val="0"/>
    <w:pPr>
      <w:tabs>
        <w:tab w:val="right" w:leader="dot" w:pos="9200"/>
      </w:tabs>
      <w:spacing w:before="0" w:after="0" w:line="300" w:lineRule="atLeast"/>
      <w:ind w:left="560" w:right="500"/>
    </w:pPr>
    <w:rPr>
      <w:rFonts w:ascii="Times New Roman" w:hAnsi="Times New Roman" w:eastAsia="Songti SC" w:cs="Times New Roman"/>
      <w:color w:val="000000"/>
      <w:sz w:val="20"/>
    </w:rPr>
  </w:style>
  <w:style w:type="paragraph" w:styleId="9">
    <w:name w:val="toc 2"/>
    <w:basedOn w:val="3"/>
    <w:uiPriority w:val="0"/>
    <w:pPr>
      <w:tabs>
        <w:tab w:val="right" w:leader="dot" w:pos="9200"/>
      </w:tabs>
      <w:spacing w:before="0" w:after="0" w:line="300" w:lineRule="atLeast"/>
      <w:ind w:left="920" w:right="500"/>
    </w:pPr>
    <w:rPr>
      <w:rFonts w:ascii="Times New Roman" w:hAnsi="Times New Roman" w:eastAsia="Songti SC" w:cs="Times New Roman"/>
      <w:color w:val="000000"/>
      <w:sz w:val="19"/>
    </w:rPr>
  </w:style>
  <w:style w:type="paragraph" w:customStyle="1" w:styleId="12">
    <w:name w:val="引导段"/>
    <w:basedOn w:val="3"/>
    <w:next w:val="3"/>
    <w:uiPriority w:val="0"/>
    <w:pPr>
      <w:widowControl/>
      <w:spacing w:before="30" w:after="180" w:line="288" w:lineRule="auto"/>
    </w:pPr>
    <w:rPr>
      <w:rFonts w:ascii="Times New Roman" w:hAnsi="Times New Roman" w:eastAsia="Songti SC" w:cs="Times New Roman"/>
      <w:color w:val="102449"/>
      <w:sz w:val="21"/>
      <w:szCs w:val="21"/>
    </w:rPr>
  </w:style>
  <w:style w:type="paragraph" w:customStyle="1" w:styleId="13">
    <w:name w:val="说明"/>
    <w:basedOn w:val="3"/>
    <w:next w:val="3"/>
    <w:uiPriority w:val="0"/>
    <w:pPr>
      <w:widowControl/>
      <w:spacing w:before="0" w:after="110" w:line="288" w:lineRule="auto"/>
    </w:pPr>
    <w:rPr>
      <w:rFonts w:ascii="Times New Roman" w:hAnsi="Times New Roman" w:eastAsia="Songti SC" w:cs="Times New Roman"/>
      <w:color w:val="657184"/>
      <w:sz w:val="17"/>
      <w:szCs w:val="17"/>
    </w:rPr>
  </w:style>
  <w:style w:type="paragraph" w:customStyle="1" w:styleId="14">
    <w:name w:val="图注"/>
    <w:basedOn w:val="3"/>
    <w:next w:val="3"/>
    <w:uiPriority w:val="0"/>
    <w:pPr>
      <w:widowControl/>
      <w:spacing w:before="80" w:after="130" w:line="288" w:lineRule="auto"/>
    </w:pPr>
    <w:rPr>
      <w:rFonts w:ascii="Times New Roman" w:hAnsi="Times New Roman" w:eastAsia="Songti SC" w:cs="Times New Roman"/>
      <w:i/>
      <w:color w:val="657184"/>
      <w:sz w:val="16"/>
      <w:szCs w:val="16"/>
    </w:rPr>
  </w:style>
  <w:style w:type="paragraph" w:customStyle="1" w:styleId="15">
    <w:name w:val="表题"/>
    <w:basedOn w:val="3"/>
    <w:next w:val="3"/>
    <w:uiPriority w:val="0"/>
    <w:pPr>
      <w:widowControl/>
      <w:spacing w:before="200" w:after="90" w:line="288" w:lineRule="auto"/>
    </w:pPr>
    <w:rPr>
      <w:rFonts w:ascii="Times New Roman" w:hAnsi="Times New Roman" w:eastAsia="Songti SC" w:cs="Times New Roman"/>
      <w:b/>
      <w:color w:val="102449"/>
      <w:sz w:val="17"/>
      <w:szCs w:val="17"/>
    </w:rPr>
  </w:style>
  <w:style w:type="paragraph" w:customStyle="1" w:styleId="16">
    <w:name w:val="参考文献"/>
    <w:basedOn w:val="3"/>
    <w:next w:val="3"/>
    <w:uiPriority w:val="0"/>
    <w:pPr>
      <w:widowControl/>
      <w:spacing w:before="0" w:after="72" w:line="288" w:lineRule="auto"/>
    </w:pPr>
    <w:rPr>
      <w:rFonts w:ascii="Times New Roman" w:hAnsi="Times New Roman" w:eastAsia="Songti SC" w:cs="Times New Roman"/>
      <w:color w:val="18263D"/>
      <w:sz w:val="16"/>
      <w:szCs w:val="16"/>
    </w:rPr>
  </w:style>
  <w:style w:type="paragraph" w:customStyle="1" w:styleId="17">
    <w:name w:val="目录标题"/>
    <w:basedOn w:val="3"/>
    <w:next w:val="3"/>
    <w:uiPriority w:val="0"/>
    <w:pPr>
      <w:widowControl/>
      <w:spacing w:before="0" w:after="160" w:line="288" w:lineRule="auto"/>
    </w:pPr>
    <w:rPr>
      <w:rFonts w:ascii="Times New Roman" w:hAnsi="Times New Roman" w:eastAsia="Songti SC" w:cs="Times New Roman"/>
      <w:b/>
      <w:color w:val="10244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  <customShpInfo spid="_x0000_s4098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Application/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再生数估计中的不可约误差与监测设计</dc:title>
  <dc:subject/>
  <dc:creator/>
  <cp:keywords/>
  <dc:description/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