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e3bc99e9bc54770" /><Relationship Type="http://schemas.openxmlformats.org/package/2006/relationships/metadata/core-properties" Target="/docProps/core.xml" Id="R5fc7f5e5dcdc4bd5" /><Relationship Type="http://schemas.openxmlformats.org/officeDocument/2006/relationships/extended-properties" Target="/docProps/app.xml" Id="R725be583548b4249" /><Relationship Type="http://schemas.openxmlformats.org/officeDocument/2006/relationships/custom-properties" Target="/docProps/custom.xml" Id="Rd3967f67cf494527"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导出两项相等的平滑交叉点m_×；（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该值在不同规格下呈现10.6–42.7的分布跨度，需注意周捕获规模D_t与理论m存在维度映射差异）；误差预算分解表明与规模无关份额占39%–55%（回顾口径三成分54.6% / 二成分54.8%），大规模观测（D_t≥250）误差降至全体平均的约六成；达峰期近89%总体误差来自平稳基准偏移，控制偏移后规模项依然有效（两阶段斜率差异未达统计显著）；时变交叉点在流感季（中位数19.7—20.4）与非流感季（46.9—47.9）系统性分异。上述定量参照为监测资源在扩大捕获、多期平滑与引入环境协变量之间的优化配置提供了分析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推论1（成本与预算约束下的最优监测规模）：设每期固定运转成本为c_0&gt;0，每上报一例边际成本为c_1&gt;0（人均监测成本c_1'下对应c_1=c_1'/ρ）。在总成本预算B=T(c_0+c_1 m)与连续期数T≥1近似约束下，最优规模为m*=sqrt((c_0/c_1)·m_×)。当存在一阶自回归自相关时调整为m*_AR=sqrt((c_0/c_1)·m_×·(1-r)/(1+r))。这表明最优规模取决于成本结构与方差交叉点。</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bc25fa4fba334302"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3d544be5ac474524"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按州聚类bootstrap检验下各季节b_iv&gt;0均保持显著，差值(b_iv-b_ols)置信区间在2022–23季([-0.13,3.82])与2023–24季([-0.50,1.71])跨越零，在2024–25季([0.07,3.33])显著为正。该对照定位为说明规模效应正向存在的稳健性证据。</w:t>
      </w:r>
    </w:p>
    <w:p w14:paraId="001000DC" w14:textId="001000DD">
      <w:pPr>
        <w:ind w:firstLine="420"/>
      </w:pPr>
      <w:r>
        <w:rPr>
          <w:sz w:val="21"/>
        </w:rPr>
        <w:t xml:space="preserve">过度离散结构Var(L)/E[L]²从[5,20)箱的5.32整体降至[600,5000)箱的0.99，超额离散随规模扩大而收缩，与理论形状一致。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[5.8168,12.8750]，b/a=22.5）；26周滚动池得b=9.4562（CI[6.7612,12.8078]，b/a=42.7）；逐州扩张窗得b=13.2666（CI[9.1385,18.2948]，b/a=38.9）。三种事前口径下误差水平抬升（回顾性基准偏乐观），但规模项均显著为正，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在相同估计程序内，联合回归交互项精确等于分别拟合的斜率差（代数恒等），差异只发生在OLS与FGLS程序之间。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较前过渡全段增加192.1%，较法定强制子段增加193.8%），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76df8000bca44a66"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可能存在时序重加权放大效应（此推论宜作为假说理解）。（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的第一阶段稳健F统计量（均大于75）表明弱工具偏倚可忽略，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单纯追求病例规模的局限、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目录记录标识符ua7e-t2fy），访问日期为2026年9月5日，分析所用交付CSV文件的SHA-256校验和为e48c2ea92e0beb552a6510b7b0c2fe7a7c9ea911cd27880169298c34de20c330。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Blake I M, Dorigatti I, Hinsley W, Jombart T, Mills H L, Nedjati-Gilani G, Van Kerkhove M D, Fraser C, Donnelly C A, Ferguson N M, Riley S.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Perspective.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COVID-19 Reported Patient Impact and Hospital Capacity by State Timeseries (Raw). 2026. URL: https://data.cdc.gov/Public-Health-Surveillance/Weekly-Hospital-Respiratory-Data-Metrics-by-Juris/uaub-vjtu (accessed 2026-09-05).</w:t>
      </w:r>
    </w:p>
    <w:sectPr>
      <w:footerReference w:type="default" r:id="R0213dea4b1584472"/>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69a7e1c0f9d44a21" /><Relationship Type="http://schemas.openxmlformats.org/officeDocument/2006/relationships/styles" Target="/word/styles.xml" Id="R0d87e95dcec441a0" /><Relationship Type="http://schemas.openxmlformats.org/officeDocument/2006/relationships/theme" Target="/word/theme/theme1.xml" Id="Rc8ad757f752d4357" /><Relationship Type="http://schemas.openxmlformats.org/officeDocument/2006/relationships/numbering" Target="/word/numbering.xml" Id="R099653a38d98427b" /><Relationship Type="http://schemas.openxmlformats.org/officeDocument/2006/relationships/image" Target="/media/image.png" Id="Rbc25fa4fba334302" /><Relationship Type="http://schemas.openxmlformats.org/officeDocument/2006/relationships/image" Target="/media/image2.png" Id="R3d544be5ac474524" /><Relationship Type="http://schemas.openxmlformats.org/officeDocument/2006/relationships/image" Target="/media/image3.png" Id="R76df8000bca44a66" /><Relationship Type="http://schemas.openxmlformats.org/officeDocument/2006/relationships/footer" Target="/word/footer1.xml" Id="R0213dea4b158447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2026-09-30T02:09:49Z</dcterms:created>
  <cp:lastModifiedBy>OfficeCLI</cp:lastModifiedBy>
  <dcterms:modified xsi:type="dcterms:W3CDTF">2026-09-30T02:09:49Z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2026-09-30T02:09:54Z</vt:lpwstr>
  </op:property>
</op:Properties>
</file>