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8226dfc418694835" /><Relationship Type="http://schemas.openxmlformats.org/package/2006/relationships/metadata/core-properties" Target="/docProps/core.xml" Id="Rf75d6bb0b0774ec8" /><Relationship Type="http://schemas.openxmlformats.org/officeDocument/2006/relationships/extended-properties" Target="/docProps/app.xml" Id="R4b889370e7334edb" /><Relationship Type="http://schemas.openxmlformats.org/officeDocument/2006/relationships/custom-properties" Target="/docProps/custom.xml" Id="Rb0ab6fe4b6a24413"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疫情监测中的病例规模收益边界：估计目标、环境随机性与外部验证</w:t>
      </w:r>
    </w:p>
    <w:p w14:paraId="00100002" w14:textId="00100003">
      <w:pPr>
        <w:spacing w:before="120" w:after="160"/>
        <w:ind w:firstLine="480"/>
      </w:pPr>
      <w:r>
        <w:rPr>
          <w:sz w:val="24"/>
        </w:rPr>
        <w:t xml:space="preserve">摘要：准确识别疫情增长并预测短期病例负担是现代传染病预警的核心任务。常规直觉认为样本量越大推断精度越高，但在个体超传播、不完全检测与共同环境扰动并存时，样本规模与推断信息量不能简单等同。既有理论主要关注当期瞬时再生数 R_t；本文表明，一旦推断目标改变，误差随样本规模的下降规律也随之改变，据此将病例规模何时不再主导推断误差转化为一个条件明确的监测设计问题。主要理论结果表明：（1）估计当期传播强度 R_t 时，测量方差随期望报告病例数 m 单调趋零；（2）以单期数据估计跨期平均传播水平 R̄ 时，单期推断留存不可消除的环境方差下限 v_R，由此导出抽样方差与环境方差相等的方差平衡点 m_×；（3）提高检测报告率 ρ 仅能消除漏报抽样方差，唯有扩大实际感染基数 n 才能使各项方差同时衰减；（4）时间序列中事后代理增长指标与事前单步预测严格成比例，且误差在极小规模端受更新过程尾部方差二次放大。实证方面，基于全美 CDC NHSN 流感住院真实监测数据（16,218 个州周观测）：流行初期相对均方误差随规模按 1/D_t 形式递减，经验平衡点约为 23 例/周；约四至五成半的误差份额落在与规模无关的拟合下限上；在达峰期，常数均值偏移是误差平台的主要来源，剥离偏差后规模效应依然显著。本文进一步分析了 CDC FluSight 前瞻集成预测和欧洲 11 国 COVID-19 数据，两组数据中随病例规模按 1/D_t 衰减的误差项均为正，经验平衡点随监测尺度和时间粒度变化。这些结果可用于比较扩大样本、延长观测期和采用多模型预测的相对收益。</w:t>
      </w:r>
    </w:p>
    <w:p w14:paraId="00100004" w14:textId="00100005">
      <w:pPr>
        <w:spacing w:after="320"/>
        <w:ind w:firstLine="480"/>
      </w:pPr>
      <w:r>
        <w:rPr>
          <w:b/>
          <w:sz w:val="24"/>
        </w:rPr>
        <w:t xml:space="preserve">关键词：疫情增长判定；分支过程；超传播；漏报；环境随机性；监测设计；短期预测；流感住院实证</w:t>
      </w:r>
    </w:p>
    <w:p w14:paraId="00100006" w14:textId="00100007">
      <w:pPr>
        <w:pStyle w:val="Heading1"/>
        <w:spacing w:before="280" w:after="120"/>
      </w:pPr>
      <w:r>
        <w:rPr>
          <w:b/>
          <w:sz w:val="28"/>
        </w:rPr>
        <w:t xml:space="preserve">0引言</w:t>
      </w:r>
    </w:p>
    <w:p w14:paraId="00100008" w14:textId="00100009">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超传播、漏报和共同环境波动同时存在时，病例数不再等同于有效信息量。</w:t>
      </w:r>
    </w:p>
    <w:p w14:paraId="0010000A" w14:textId="0010000B">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C" w14:textId="0010000D">
      <w:pPr>
        <w:spacing w:after="0"/>
        <w:ind w:firstLine="480"/>
      </w:pPr>
      <w:r>
        <w:rPr>
          <w:sz w:val="24"/>
        </w:rPr>
        <w:t xml:space="preserve">现有研究已经说明病例规模会影响再生数估计和预测误差，但尚未区分当期传播参数与跨期基础水平这两个估计目标。由此产生三个关键问题：第一，病例规模对两类推断目标的方差影响是否相同？第二，提高报告率和扩大监测基数能否消除相同的误差来源？第三，这些理论差异能否在真实监测数据和外部预测数据中观察到？</w:t>
      </w:r>
    </w:p>
    <w:p w14:paraId="0010000E" w14:textId="0010000F">
      <w:pPr>
        <w:spacing w:after="0"/>
        <w:ind w:firstLine="480"/>
      </w:pPr>
      <w:r>
        <w:rPr>
          <w:sz w:val="24"/>
        </w:rPr>
        <w:t xml:space="preserve">针对上述问题，本文从负二项分支过程第一性原理出发，构建了条件明确的分层随机模型，系统探讨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需要明确，本文的核心理论贡献在于揭示估计目标与环境随机性对监测规模收益的决定性制约，把估计目标、方差结构和监测设计放在同一分析框架中，而非提出新的动力学分布模型。</w:t>
      </w:r>
    </w:p>
    <w:p w14:paraId="00100012" w14:textId="00100013">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总结全文并探讨监测设计启示。</w:t>
      </w:r>
    </w:p>
    <w:p w14:paraId="00100014" w14:textId="00100015">
      <w:pPr>
        <w:pStyle w:val="Heading1"/>
        <w:spacing w:before="280" w:after="120"/>
      </w:pPr>
      <w:r>
        <w:rPr>
          <w:b/>
          <w:sz w:val="28"/>
        </w:rPr>
        <w:t xml:space="preserve">1研究回顾</w:t>
      </w:r>
    </w:p>
    <w:p w14:paraId="00100016" w14:textId="00100017">
      <w:pPr>
        <w:spacing w:after="0"/>
        <w:ind w:firstLine="480"/>
      </w:pPr>
      <w:r>
        <w:rPr>
          <w:sz w:val="24"/>
        </w:rPr>
        <w:t xml:space="preserve">与本文密切相关的文献可归纳为六大理论脉络：</w:t>
      </w:r>
    </w:p>
    <w:p w14:paraId="00100018" w14:textId="00100019">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A" w14:textId="0010001B">
      <w:pPr>
        <w:spacing w:after="0"/>
        <w:ind w:firstLine="480"/>
      </w:pPr>
      <w:r>
        <w:rPr>
          <w:sz w:val="24"/>
        </w:rPr>
        <w:t xml:space="preserve">第二，不完全观测与状态空间滤波。现实监测系统仅能获取经过延迟与漏报抽样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C" w14:textId="0010001D">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不可约环境方差。</w:t>
      </w:r>
    </w:p>
    <w:p w14:paraId="0010001E" w14:textId="0010001F">
      <w:pPr>
        <w:spacing w:after="0"/>
        <w:ind w:firstLine="480"/>
      </w:pPr>
      <w:r>
        <w:rPr>
          <w:sz w:val="24"/>
        </w:rPr>
        <w:t xml:space="preserve">第四，人口统计随机性与环境随机性区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20" w14:textId="00100021">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2" w14:textId="00100023">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4" w14:textId="00100025">
      <w:pPr>
        <w:pStyle w:val="Heading1"/>
        <w:spacing w:before="280" w:after="120"/>
      </w:pPr>
      <w:r>
        <w:rPr>
          <w:b/>
          <w:sz w:val="28"/>
        </w:rPr>
        <w:t xml:space="preserve">2模型与方法</w:t>
      </w:r>
    </w:p>
    <w:p w14:paraId="00100026" w14:textId="00100027">
      <w:pPr>
        <w:pStyle w:val="Heading2"/>
        <w:spacing w:before="200" w:after="80"/>
      </w:pPr>
      <w:r>
        <w:rPr>
          <w:b/>
          <w:sz w:val="24"/>
        </w:rPr>
        <w:t xml:space="preserve">2.1传播动力学生灭模型与个体超传播</w:t>
      </w:r>
    </w:p>
    <w:p w14:paraId="00100028" w14:textId="00100029">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A" w14:textId="0010002B">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C" w14:textId="0010002D">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E" w14:textId="0010002F">
      <w:pPr>
        <w:pStyle w:val="Heading2"/>
        <w:spacing w:before="200" w:after="80"/>
      </w:pPr>
      <w:r>
        <w:rPr>
          <w:b/>
          <w:sz w:val="24"/>
        </w:rPr>
        <w:t xml:space="preserve">2.2监测漏报与二项抽稀观测模型</w:t>
      </w:r>
    </w:p>
    <w:p w14:paraId="00100030" w14:textId="00100031">
      <w:pPr>
        <w:spacing w:after="0"/>
        <w:ind w:firstLine="480"/>
      </w:pPr>
      <w:r>
        <w:rPr>
          <w:sz w:val="24"/>
        </w:rPr>
        <w:t xml:space="preserve">现实监测网络无法完全捕获所有真实感染。假设每个真实感染者以概率ρ∈(0,1]独立被报告，当期报告病例数为C_t：</w:t>
      </w:r>
    </w:p>
    <w:p w14:paraId="00100032" w14:textId="00100033">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4" w14:textId="00100035">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6" w14:textId="00100037">
      <w:pPr>
        <w:pStyle w:val="Heading2"/>
        <w:spacing w:before="200" w:after="80"/>
      </w:pPr>
      <w:r>
        <w:rPr>
          <w:b/>
          <w:sz w:val="24"/>
        </w:rPr>
        <w:t xml:space="preserve">2.3估计目标的分层界定：当期参数与跨期基础水平</w:t>
      </w:r>
    </w:p>
    <w:p w14:paraId="00100038" w14:textId="00100039">
      <w:pPr>
        <w:spacing w:after="0"/>
        <w:ind w:firstLine="480"/>
      </w:pPr>
      <w:r>
        <w:rPr>
          <w:sz w:val="24"/>
        </w:rPr>
        <w:t xml:space="preserve">推断精度的性质根本上取决于估计目标：</w:t>
      </w:r>
    </w:p>
    <w:p w14:paraId="0010003A" w14:textId="0010003B">
      <w:pPr>
        <w:spacing w:after="0"/>
        <w:ind w:firstLine="480"/>
      </w:pPr>
      <w:r>
        <w:rPr>
          <w:sz w:val="24"/>
        </w:rPr>
        <w:t xml:space="preserve">目标A（当期传播参数）：估计当期特定环境条件下的瞬时传播强度R_t，反映特定周度气象与接触条件决定的个体期望继发感染水平。</w:t>
      </w:r>
    </w:p>
    <w:p w14:paraId="0010003C" w14:textId="0010003D">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E" w14:textId="0010003F">
      <w:pPr>
        <w:pStyle w:val="Heading2"/>
        <w:spacing w:before="200" w:after="80"/>
      </w:pPr>
      <w:r>
        <w:rPr>
          <w:b/>
          <w:sz w:val="24"/>
        </w:rPr>
        <w:t xml:space="preserve">2.4信息集划分与预测设定</w:t>
      </w:r>
    </w:p>
    <w:p w14:paraId="00100040" w14:textId="00100041">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2" w14:textId="00100043">
      <w:pPr>
        <w:pStyle w:val="Heading1"/>
        <w:spacing w:before="280" w:after="120"/>
      </w:pPr>
      <w:r>
        <w:rPr>
          <w:b/>
          <w:sz w:val="28"/>
        </w:rPr>
        <w:t xml:space="preserve">3理论结果与运筹设计</w:t>
      </w:r>
    </w:p>
    <w:p w14:paraId="00100044" w14:textId="00100045">
      <w:pPr>
        <w:pStyle w:val="Heading2"/>
        <w:spacing w:before="200" w:after="80"/>
      </w:pPr>
      <w:r>
        <w:rPr>
          <w:b/>
          <w:sz w:val="24"/>
        </w:rPr>
        <w:t xml:space="preserve">3.1当期传播参数的条件似然、Fisher信息与方差下界</w:t>
      </w:r>
    </w:p>
    <w:p w14:paraId="00100046" w14:textId="00100047">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8" w14:textId="00100049">
      <w:pPr>
        <w:spacing w:after="0"/>
        <w:ind w:firstLine="480"/>
      </w:pPr>
      <w:r>
        <w:rPr>
          <w:sz w:val="24"/>
        </w:rPr>
        <w:t xml:space="preserve">（1）报告病例数C_t在给定(n, R_t)下的边缘分布严格服从负二项分布：C_t|(n,R_t) ~ NB(均值=ρnR_t, 形状参数=nk, p*=k/(k+ρR_t))；</w:t>
      </w:r>
    </w:p>
    <w:p w14:paraId="0010004A" w14:textId="0010004B">
      <w:pPr>
        <w:spacing w:after="0"/>
        <w:ind w:firstLine="480"/>
      </w:pPr>
      <w:r>
        <w:rPr>
          <w:sz w:val="24"/>
        </w:rPr>
        <w:t xml:space="preserve">（2）矩估计量 R̂_t = C_t/(ρn) 恰为该条件似然模型下的极大似然估计量（MLE）；当C_t=0时估计量位于参数空间边界；</w:t>
      </w:r>
    </w:p>
    <w:p w14:paraId="0010004C" w14:textId="0010004D">
      <w:pPr>
        <w:spacing w:after="0"/>
        <w:ind w:firstLine="480"/>
      </w:pPr>
      <w:r>
        <w:rPr>
          <w:sz w:val="24"/>
        </w:rPr>
        <w:t xml:space="preserve">（3）在内部参数点R_t&gt;0上，关于R_t的Fisher信息量严格等于：</w:t>
      </w:r>
    </w:p>
    <w:p w14:paraId="0010004E" w14:textId="0010004F">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50" w14:textId="00100051">
      <w:pPr>
        <w:spacing w:after="0"/>
        <w:ind w:firstLine="480"/>
      </w:pPr>
      <w:r>
        <w:rPr>
          <w:sz w:val="24"/>
        </w:rPr>
        <w:t xml:space="preserve">（4）估计量R̂_t的条件方差严格达到Cramér–Rao下界：</w:t>
      </w:r>
    </w:p>
    <w:p w14:paraId="00100052" w14:textId="00100053">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4" w14:textId="00100055">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6" w14:textId="00100057">
      <w:pPr>
        <w:pStyle w:val="Heading2"/>
        <w:spacing w:before="200" w:after="80"/>
      </w:pPr>
      <w:r>
        <w:rPr>
          <w:b/>
          <w:sz w:val="24"/>
        </w:rPr>
        <w:t xml:space="preserve">3.2跨期基础水平的边际方差与平滑交叉点</w:t>
      </w:r>
    </w:p>
    <w:p w14:paraId="00100058" w14:textId="00100059">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A" w14:textId="0010005B">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C" w14:textId="0010005D">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E" w14:textId="0010005F">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60" w14:textId="00100061">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2" w14:textId="00100063">
      <w:pPr>
        <w:pStyle w:val="Heading2"/>
        <w:spacing w:before="200" w:after="80"/>
      </w:pPr>
      <w:r>
        <w:rPr>
          <w:b/>
          <w:sz w:val="24"/>
        </w:rPr>
        <w:t xml:space="preserve">3.3监测杠杆的非对称性机制拆解</w:t>
      </w:r>
    </w:p>
    <w:p w14:paraId="00100064" w14:textId="00100065">
      <w:pPr>
        <w:spacing w:after="0"/>
        <w:ind w:firstLine="480"/>
      </w:pPr>
      <w:r>
        <w:rPr>
          <w:sz w:val="24"/>
        </w:rPr>
        <w:t xml:space="preserve">命题3（监测杠杆的非对称性与超传播方差下界）：将式(5)拆解为关于(n, ρ)的二元函数，并将第二项分解为计数方差与漏报抽样方差R̄/(ρn) = R̄/n + (1-ρ)R̄/(ρn)。</w:t>
      </w:r>
    </w:p>
    <w:p w14:paraId="00100066" w14:textId="00100067">
      <w:pPr>
        <w:spacing w:after="0"/>
        <w:ind w:firstLine="480"/>
      </w:pPr>
      <w:r>
        <w:rPr>
          <w:sz w:val="24"/>
        </w:rPr>
        <w:t xml:space="preserve">（1）报告率杠杆的饱和下界：给定有限风险集n&lt;∞，当报告率趋于理想极限ρ→1时：</w:t>
      </w:r>
    </w:p>
    <w:p w14:paraId="00100068" w14:textId="00100069">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A" w14:textId="0010006B">
      <w:pPr>
        <w:spacing w:after="0"/>
        <w:ind w:firstLine="480"/>
      </w:pPr>
      <w:r>
        <w:rPr>
          <w:sz w:val="24"/>
        </w:rPr>
        <w:t xml:space="preserve">提高报告率仅能消除漏报抽样方差，无法消除完全报告时依然存在的计数波动，更无法消除个体超传播引入的内在子代抽样方差；</w:t>
      </w:r>
    </w:p>
    <w:p w14:paraId="0010006C" w14:textId="0010006D">
      <w:pPr>
        <w:spacing w:after="0"/>
        <w:ind w:firstLine="480"/>
      </w:pPr>
      <w:r>
        <w:rPr>
          <w:sz w:val="24"/>
        </w:rPr>
        <w:t xml:space="preserve">（2）样本基数杠杆的全域收敛性：无论报告率ρ处于何种水平，只要扩大真实风险集规模至极限n→∞，两项规模相关方差均严格收敛于零：</w:t>
      </w:r>
    </w:p>
    <w:p w14:paraId="0010006E" w14:textId="0010006F">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70" w14:textId="00100071">
      <w:pPr>
        <w:spacing w:after="0"/>
        <w:ind w:firstLine="480"/>
      </w:pPr>
      <w:r>
        <w:rPr>
          <w:sz w:val="24"/>
        </w:rPr>
        <w:t xml:space="preserve">直观机制在于：报告抽样仅改变观测比例，无法改变个体繁殖内核的内在异质性；唯有扩大真实基数n才能通过大数定律压制微观抽样随机性。</w:t>
      </w:r>
    </w:p>
    <w:p w14:paraId="00100072" w14:textId="00100073">
      <w:pPr>
        <w:pStyle w:val="Heading2"/>
        <w:spacing w:before="200" w:after="80"/>
      </w:pPr>
      <w:r>
        <w:rPr>
          <w:b/>
          <w:sz w:val="24"/>
        </w:rPr>
        <w:t xml:space="preserve">3.4跨期监测预算权衡与AR(1)环境衰减</w:t>
      </w:r>
    </w:p>
    <w:p w14:paraId="00100074" w14:textId="00100075">
      <w:pPr>
        <w:spacing w:after="0"/>
        <w:ind w:firstLine="480"/>
      </w:pPr>
      <w:r>
        <w:rPr>
          <w:sz w:val="24"/>
        </w:rPr>
        <w:t xml:space="preserve">命题4（预算约束下的监测设计权衡与可行性集合）：设在T个观测期内总监测输入规模预算受限为B = T·m（每期m = ρn_T）：</w:t>
      </w:r>
    </w:p>
    <w:p w14:paraId="00100076" w14:textId="00100077">
      <w:pPr>
        <w:spacing w:after="0"/>
        <w:ind w:firstLine="480"/>
      </w:pPr>
      <w:r>
        <w:rPr>
          <w:sz w:val="24"/>
        </w:rPr>
        <w:t xml:space="preserve">（1）若各期环境扰动跨期独立，平均估计量的方差为Var(R̄_T) = v_R/T + A/B。总预算B固定时，拉长观测期数T能够以O(1/T)严格单调降低估计方差；</w:t>
      </w:r>
    </w:p>
    <w:p w14:paraId="00100078" w14:textId="00100079">
      <w:pPr>
        <w:spacing w:after="0"/>
        <w:ind w:firstLine="480"/>
      </w:pPr>
      <w:r>
        <w:rPr>
          <w:sz w:val="24"/>
        </w:rPr>
        <w:t xml:space="preserve">（2）若环境扰动存在一阶自回归自相关Cov(R_t, R_{t+s}) = v_R r^{|s|}（0≤r&lt;1），有限期数T下的精确方差为：</w:t>
      </w:r>
    </w:p>
    <w:p w14:paraId="0010007A" w14:textId="0010007B">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C" w14:textId="0010007D">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E" w14:textId="0010007F">
      <w:pPr>
        <w:pStyle w:val="Heading2"/>
        <w:spacing w:before="200" w:after="80"/>
      </w:pPr>
      <w:r>
        <w:rPr>
          <w:b/>
          <w:sz w:val="24"/>
        </w:rPr>
        <w:t xml:space="preserve">3.5成本约束下的最优监测规模闭式解</w:t>
      </w:r>
    </w:p>
    <w:p w14:paraId="00100080" w14:textId="00100081">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2" w14:textId="00100083">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4" w14:textId="00100085">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6" w14:textId="00100087">
      <w:pPr>
        <w:pStyle w:val="Heading2"/>
        <w:spacing w:before="200" w:after="80"/>
      </w:pPr>
      <w:r>
        <w:rPr>
          <w:b/>
          <w:sz w:val="24"/>
        </w:rPr>
        <w:t xml:space="preserve">3.6单调似然比超临界增长判定检验</w:t>
      </w:r>
    </w:p>
    <w:p w14:paraId="00100088" w14:textId="00100089">
      <w:pPr>
        <w:spacing w:after="0"/>
        <w:ind w:firstLine="480"/>
      </w:pPr>
      <w:r>
        <w:rPr>
          <w:sz w:val="24"/>
        </w:rPr>
        <w:t xml:space="preserve">命题5（当期超临界增长判定检验与精确离散功效）：针对单侧假设检验H_0: R_t ≤ 1 对 H_1: R_t &gt; 1：</w:t>
      </w:r>
    </w:p>
    <w:p w14:paraId="0010008A" w14:textId="0010008B">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C" w14:textId="0010008D">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E" w14:textId="0010008F">
      <w:pPr>
        <w:pStyle w:val="Heading2"/>
        <w:spacing w:before="200" w:after="80"/>
      </w:pPr>
      <w:r>
        <w:rPr>
          <w:b/>
          <w:sz w:val="24"/>
        </w:rPr>
        <w:t xml:space="preserve">3.7更新过程前瞻预测误差的条件分解</w:t>
      </w:r>
    </w:p>
    <w:p w14:paraId="00100090" w14:textId="00100091">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2" w14:textId="00100093">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4" w14:textId="00100095">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6" w14:textId="00100097">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8" w14:textId="00100099">
      <w:pPr>
        <w:pStyle w:val="Heading1"/>
        <w:spacing w:before="280" w:after="120"/>
      </w:pPr>
      <w:r>
        <w:rPr>
          <w:b/>
          <w:sz w:val="28"/>
        </w:rPr>
        <w:t xml:space="preserve">4数值模拟评估</w:t>
      </w:r>
    </w:p>
    <w:p w14:paraId="0010009A" w14:textId="0010009B">
      <w:pPr>
        <w:pStyle w:val="Heading2"/>
        <w:spacing w:before="200" w:after="80"/>
      </w:pPr>
      <w:r>
        <w:rPr>
          <w:b/>
          <w:sz w:val="24"/>
        </w:rPr>
        <w:t xml:space="preserve">4.1理论命题与交叉点的数值验证</w:t>
      </w:r>
    </w:p>
    <w:p w14:paraId="0010009C" w14:textId="0010009D">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E" w14:textId="0010009F">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4014f59cf32f4399" cstate="print"/>
                    <a:stretch>
                      <a:fillRect/>
                    </a:stretch>
                  </pic:blipFill>
                  <pic:spPr>
                    <a:xfrm>
                      <a:off x="0" y="0"/>
                      <a:ext cx="5303520" cy="1617458"/>
                    </a:xfrm>
                    <a:prstGeom prst="rect">
                      <a:avLst/>
                    </a:prstGeom>
                  </pic:spPr>
                </pic:pic>
              </a:graphicData>
            </a:graphic>
          </wp:inline>
        </w:drawing>
      </w:r>
    </w:p>
    <w:p w14:paraId="001000A0" w14:textId="001000A1">
      <w:pPr>
        <w:spacing w:before="40" w:after="240"/>
        <w:jc w:val="center"/>
      </w:pPr>
      <w:r>
        <w:rPr>
          <w:b/>
          <w:sz w:val="21"/>
        </w:rPr>
        <w:t xml:space="preserve">图1 理论命题与方差占比交叉点蒙特卡洛验证</w:t>
      </w:r>
    </w:p>
    <w:p w14:paraId="001000A2" w14:textId="001000A3">
      <w:pPr>
        <w:pStyle w:val="Heading2"/>
        <w:spacing w:before="200" w:after="80"/>
      </w:pPr>
      <w:r>
        <w:rPr>
          <w:b/>
          <w:sz w:val="24"/>
        </w:rPr>
        <w:t xml:space="preserve">4.2增长判定检验的有限样本功效与Wald近似失效</w:t>
      </w:r>
    </w:p>
    <w:p w14:paraId="001000A4" w14:textId="001000A5">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6" w14:textId="001000A7">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e9ac87bef63f4c47" cstate="print"/>
                    <a:stretch>
                      <a:fillRect/>
                    </a:stretch>
                  </pic:blipFill>
                  <pic:spPr>
                    <a:xfrm>
                      <a:off x="0" y="0"/>
                      <a:ext cx="5303520" cy="1455234"/>
                    </a:xfrm>
                    <a:prstGeom prst="rect">
                      <a:avLst/>
                    </a:prstGeom>
                  </pic:spPr>
                </pic:pic>
              </a:graphicData>
            </a:graphic>
          </wp:inline>
        </w:drawing>
      </w:r>
    </w:p>
    <w:p w14:paraId="001000A8" w14:textId="001000A9">
      <w:pPr>
        <w:spacing w:before="40" w:after="240"/>
        <w:jc w:val="center"/>
      </w:pPr>
      <w:r>
        <w:rPr>
          <w:b/>
          <w:sz w:val="21"/>
        </w:rPr>
        <w:t xml:space="preserve">图2 当期超临界增长判定检验功效与有限样本性质验证</w:t>
      </w:r>
    </w:p>
    <w:p w14:paraId="001000AA" w14:textId="001000AB">
      <w:pPr>
        <w:pStyle w:val="Heading2"/>
        <w:spacing w:before="200" w:after="80"/>
      </w:pPr>
      <w:r>
        <w:rPr>
          <w:b/>
          <w:sz w:val="24"/>
        </w:rPr>
        <w:t xml:space="preserve">4.3代际更新过程时间序列预测误差衰减仿真</w:t>
      </w:r>
    </w:p>
    <w:p w14:paraId="001000AC" w14:textId="001000AD">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E" w14:textId="001000AF">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d8911e2a77594c77" cstate="print"/>
                    <a:stretch>
                      <a:fillRect/>
                    </a:stretch>
                  </pic:blipFill>
                  <pic:spPr>
                    <a:xfrm>
                      <a:off x="0" y="0"/>
                      <a:ext cx="5303520" cy="1411133"/>
                    </a:xfrm>
                    <a:prstGeom prst="rect">
                      <a:avLst/>
                    </a:prstGeom>
                  </pic:spPr>
                </pic:pic>
              </a:graphicData>
            </a:graphic>
          </wp:inline>
        </w:drawing>
      </w:r>
    </w:p>
    <w:p w14:paraId="001000B0" w14:textId="001000B1">
      <w:pPr>
        <w:spacing w:before="40" w:after="240"/>
        <w:jc w:val="center"/>
      </w:pPr>
      <w:r>
        <w:rPr>
          <w:b/>
          <w:sz w:val="21"/>
        </w:rPr>
        <w:t xml:space="preserve">图3 更新过程时间序列事后统计量与事前预测误差对照</w:t>
      </w:r>
    </w:p>
    <w:p w14:paraId="001000B2" w14:textId="001000B3">
      <w:pPr>
        <w:pStyle w:val="Heading1"/>
        <w:spacing w:before="280" w:after="120"/>
      </w:pPr>
      <w:r>
        <w:rPr>
          <w:b/>
          <w:sz w:val="28"/>
        </w:rPr>
        <w:t xml:space="preserve">5实证检验：全美流感住院监测数据（2020—2026）</w:t>
      </w:r>
    </w:p>
    <w:p w14:paraId="001000B4" w14:textId="001000B5">
      <w:pPr>
        <w:pStyle w:val="Heading2"/>
        <w:spacing w:before="200" w:after="80"/>
      </w:pPr>
      <w:r>
        <w:rPr>
          <w:b/>
          <w:sz w:val="24"/>
        </w:rPr>
        <w:t xml:space="preserve">5.1数据来源、制度分段与有效样本界定</w:t>
      </w:r>
    </w:p>
    <w:p w14:paraId="001000B6" w14:textId="001000B7">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8" w14:textId="001000B9">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A" w14:textId="001000BB">
      <w:pPr>
        <w:pStyle w:val="Heading2"/>
        <w:spacing w:before="200" w:after="80"/>
      </w:pPr>
      <w:r>
        <w:rPr>
          <w:b/>
          <w:sz w:val="24"/>
        </w:rPr>
        <w:t xml:space="preserve">5.2检验一：流行初期波段的方差衰减与误差预算分解</w:t>
      </w:r>
    </w:p>
    <w:p w14:paraId="001000BC" w14:textId="001000BD">
      <w:pPr>
        <w:spacing w:after="0"/>
        <w:ind w:firstLine="480"/>
      </w:pPr>
      <w:r>
        <w:rPr>
          <w:sz w:val="24"/>
        </w:rPr>
        <w:t xml:space="preserve">在三个流感季初期上升波段（N=1,267，平均增长率1.6706）中展开回顾性阶段条件误差分析，各规模分组统计见表1。</w:t>
      </w:r>
    </w:p>
    <w:p w14:paraId="001000BE" w14:textId="001000BF">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C0" w14:textId="001000C1">
            <w:r>
              <w:t xml:space="preserve">每周有效规模D_t</w:t>
            </w:r>
          </w:p>
        </w:tc>
        <w:tc>
          <w:p w14:paraId="001000C2" w14:textId="001000C3">
            <w:r>
              <w:t xml:space="preserve">样本数N</w:t>
            </w:r>
          </w:p>
        </w:tc>
        <w:tc>
          <w:p w14:paraId="001000C4" w14:textId="001000C5">
            <w:r>
              <w:t xml:space="preserve">相对均方误差</w:t>
            </w:r>
          </w:p>
        </w:tc>
        <w:tc>
          <w:p w14:paraId="001000C6" w14:textId="001000C7">
            <w:r>
              <w:t xml:space="preserve">中位数</w:t>
            </w:r>
          </w:p>
        </w:tc>
        <w:tc>
          <w:p w14:paraId="001000C8" w14:textId="001000C9">
            <w:r>
              <w:t xml:space="preserve">普通SEM</w:t>
            </w:r>
          </w:p>
        </w:tc>
        <w:tc>
          <w:p w14:paraId="001000CA" w14:textId="001000CB">
            <w:r>
              <w:t xml:space="preserve">州聚类SE</w:t>
            </w:r>
          </w:p>
        </w:tc>
        <w:tc>
          <w:p w14:paraId="001000CC" w14:textId="001000CD">
            <w:r>
              <w:t xml:space="preserve">州聚类95%CI</w:t>
            </w:r>
          </w:p>
        </w:tc>
      </w:tr>
      <w:tr>
        <w:trPr/>
        <w:tc>
          <w:p w14:paraId="001000CE" w14:textId="001000CF">
            <w:r>
              <w:t xml:space="preserve">[5,20)</w:t>
            </w:r>
          </w:p>
        </w:tc>
        <w:tc>
          <w:p w14:paraId="001000D0" w14:textId="001000D1">
            <w:r>
              <w:t xml:space="preserve">319</w:t>
            </w:r>
          </w:p>
        </w:tc>
        <w:tc>
          <w:p w14:paraId="001000D2" w14:textId="001000D3">
            <w:r>
              <w:t xml:space="preserve">0.3292</w:t>
            </w:r>
          </w:p>
        </w:tc>
        <w:tc>
          <w:p w14:paraId="001000D4" w14:textId="001000D5">
            <w:r>
              <w:t xml:space="preserve">0.0969</w:t>
            </w:r>
          </w:p>
        </w:tc>
        <w:tc>
          <w:p w14:paraId="001000D6" w14:textId="001000D7">
            <w:r>
              <w:t xml:space="preserve">0.0425</w:t>
            </w:r>
          </w:p>
        </w:tc>
        <w:tc>
          <w:p w14:paraId="001000D8" w14:textId="001000D9">
            <w:r>
              <w:t xml:space="preserve">0.0437</w:t>
            </w:r>
          </w:p>
        </w:tc>
        <w:tc>
          <w:p w14:paraId="001000DA" w14:textId="001000DB">
            <w:r>
              <w:t xml:space="preserve">[0.2435,0.4149]</w:t>
            </w:r>
          </w:p>
        </w:tc>
      </w:tr>
      <w:tr>
        <w:trPr/>
        <w:tc>
          <w:p w14:paraId="001000DC" w14:textId="001000DD">
            <w:r>
              <w:t xml:space="preserve">[20,50)</w:t>
            </w:r>
          </w:p>
        </w:tc>
        <w:tc>
          <w:p w14:paraId="001000DE" w14:textId="001000DF">
            <w:r>
              <w:t xml:space="preserve">297</w:t>
            </w:r>
          </w:p>
        </w:tc>
        <w:tc>
          <w:p w14:paraId="001000E0" w14:textId="001000E1">
            <w:r>
              <w:t xml:space="preserve">0.1605</w:t>
            </w:r>
          </w:p>
        </w:tc>
        <w:tc>
          <w:p w14:paraId="001000E2" w14:textId="001000E3">
            <w:r>
              <w:t xml:space="preserve">0.0596</w:t>
            </w:r>
          </w:p>
        </w:tc>
        <w:tc>
          <w:p w14:paraId="001000E4" w14:textId="001000E5">
            <w:r>
              <w:t xml:space="preserve">0.0169</w:t>
            </w:r>
          </w:p>
        </w:tc>
        <w:tc>
          <w:p w14:paraId="001000E6" w14:textId="001000E7">
            <w:r>
              <w:t xml:space="preserve">0.0189</w:t>
            </w:r>
          </w:p>
        </w:tc>
        <w:tc>
          <w:p w14:paraId="001000E8" w14:textId="001000E9">
            <w:r>
              <w:t xml:space="preserve">[0.1235,0.1974]</w:t>
            </w:r>
          </w:p>
        </w:tc>
      </w:tr>
      <w:tr>
        <w:trPr/>
        <w:tc>
          <w:p w14:paraId="001000EA" w14:textId="001000EB">
            <w:r>
              <w:t xml:space="preserve">[50,100)</w:t>
            </w:r>
          </w:p>
        </w:tc>
        <w:tc>
          <w:p w14:paraId="001000EC" w14:textId="001000ED">
            <w:r>
              <w:t xml:space="preserve">187</w:t>
            </w:r>
          </w:p>
        </w:tc>
        <w:tc>
          <w:p w14:paraId="001000EE" w14:textId="001000EF">
            <w:r>
              <w:t xml:space="preserve">0.1446</w:t>
            </w:r>
          </w:p>
        </w:tc>
        <w:tc>
          <w:p w14:paraId="001000F0" w14:textId="001000F1">
            <w:r>
              <w:t xml:space="preserve">0.0483</w:t>
            </w:r>
          </w:p>
        </w:tc>
        <w:tc>
          <w:p w14:paraId="001000F2" w14:textId="001000F3">
            <w:r>
              <w:t xml:space="preserve">0.0194</w:t>
            </w:r>
          </w:p>
        </w:tc>
        <w:tc>
          <w:p w14:paraId="001000F4" w14:textId="001000F5">
            <w:r>
              <w:t xml:space="preserve">0.0198</w:t>
            </w:r>
          </w:p>
        </w:tc>
        <w:tc>
          <w:p w14:paraId="001000F6" w14:textId="001000F7">
            <w:r>
              <w:t xml:space="preserve">[0.1057,0.1835]</w:t>
            </w:r>
          </w:p>
        </w:tc>
      </w:tr>
      <w:tr>
        <w:trPr/>
        <w:tc>
          <w:p w14:paraId="001000F8" w14:textId="001000F9">
            <w:r>
              <w:t xml:space="preserve">[100,250)</w:t>
            </w:r>
          </w:p>
        </w:tc>
        <w:tc>
          <w:p w14:paraId="001000FA" w14:textId="001000FB">
            <w:r>
              <w:t xml:space="preserve">220</w:t>
            </w:r>
          </w:p>
        </w:tc>
        <w:tc>
          <w:p w14:paraId="001000FC" w14:textId="001000FD">
            <w:r>
              <w:t xml:space="preserve">0.1118</w:t>
            </w:r>
          </w:p>
        </w:tc>
        <w:tc>
          <w:p w14:paraId="001000FE" w14:textId="001000FF">
            <w:r>
              <w:t xml:space="preserve">0.0545</w:t>
            </w:r>
          </w:p>
        </w:tc>
        <w:tc>
          <w:p w14:paraId="00100100" w14:textId="00100101">
            <w:r>
              <w:t xml:space="preserve">0.0110</w:t>
            </w:r>
          </w:p>
        </w:tc>
        <w:tc>
          <w:p w14:paraId="00100102" w14:textId="00100103">
            <w:r>
              <w:t xml:space="preserve">0.0114</w:t>
            </w:r>
          </w:p>
        </w:tc>
        <w:tc>
          <w:p w14:paraId="00100104" w14:textId="00100105">
            <w:r>
              <w:t xml:space="preserve">[0.0895,0.1341]</w:t>
            </w:r>
          </w:p>
        </w:tc>
      </w:tr>
      <w:tr>
        <w:trPr/>
        <w:tc>
          <w:p w14:paraId="00100106" w14:textId="00100107">
            <w:r>
              <w:t xml:space="preserve">[250,600)</w:t>
            </w:r>
          </w:p>
        </w:tc>
        <w:tc>
          <w:p w14:paraId="00100108" w14:textId="00100109">
            <w:r>
              <w:t xml:space="preserve">152</w:t>
            </w:r>
          </w:p>
        </w:tc>
        <w:tc>
          <w:p w14:paraId="0010010A" w14:textId="0010010B">
            <w:r>
              <w:t xml:space="preserve">0.1032</w:t>
            </w:r>
          </w:p>
        </w:tc>
        <w:tc>
          <w:p w14:paraId="0010010C" w14:textId="0010010D">
            <w:r>
              <w:t xml:space="preserve">0.0460</w:t>
            </w:r>
          </w:p>
        </w:tc>
        <w:tc>
          <w:p w14:paraId="0010010E" w14:textId="0010010F">
            <w:r>
              <w:t xml:space="preserve">0.0097</w:t>
            </w:r>
          </w:p>
        </w:tc>
        <w:tc>
          <w:p w14:paraId="00100110" w14:textId="00100111">
            <w:r>
              <w:t xml:space="preserve">0.0133</w:t>
            </w:r>
          </w:p>
        </w:tc>
        <w:tc>
          <w:p w14:paraId="00100112" w14:textId="00100113">
            <w:r>
              <w:t xml:space="preserve">[0.0771,0.1293]</w:t>
            </w:r>
          </w:p>
        </w:tc>
      </w:tr>
      <w:tr>
        <w:trPr/>
        <w:tc>
          <w:p w14:paraId="00100114" w14:textId="00100115">
            <w:r>
              <w:t xml:space="preserve">[600,5000)</w:t>
            </w:r>
          </w:p>
        </w:tc>
        <w:tc>
          <w:p w14:paraId="00100116" w14:textId="00100117">
            <w:r>
              <w:t xml:space="preserve">92</w:t>
            </w:r>
          </w:p>
        </w:tc>
        <w:tc>
          <w:p w14:paraId="00100118" w14:textId="00100119">
            <w:r>
              <w:t xml:space="preserve">0.1054</w:t>
            </w:r>
          </w:p>
        </w:tc>
        <w:tc>
          <w:p w14:paraId="0010011A" w14:textId="0010011B">
            <w:r>
              <w:t xml:space="preserve">0.0735</w:t>
            </w:r>
          </w:p>
        </w:tc>
        <w:tc>
          <w:p w14:paraId="0010011C" w14:textId="0010011D">
            <w:r>
              <w:t xml:space="preserve">0.0109</w:t>
            </w:r>
          </w:p>
        </w:tc>
        <w:tc>
          <w:p w14:paraId="0010011E" w14:textId="0010011F">
            <w:r>
              <w:t xml:space="preserve">0.0146</w:t>
            </w:r>
          </w:p>
        </w:tc>
        <w:tc>
          <w:p w14:paraId="00100120" w14:textId="00100121">
            <w:r>
              <w:t xml:space="preserve">[0.0769,0.1340]</w:t>
            </w:r>
          </w:p>
        </w:tc>
      </w:tr>
    </w:tbl>
    <w:p w14:paraId="00100122" w14:textId="00100123">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4" w14:textId="00100125">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6" w14:textId="00100127">
      <w:pPr>
        <w:pStyle w:val="Heading2"/>
        <w:spacing w:before="200" w:after="80"/>
      </w:pPr>
      <w:r>
        <w:rPr>
          <w:b/>
          <w:sz w:val="24"/>
        </w:rPr>
        <w:t xml:space="preserve">5.3检验二：与时变更新过程及时间序列基准的竞争预测性能对照</w:t>
      </w:r>
    </w:p>
    <w:p w14:paraId="00100128" w14:textId="00100129">
      <w:pPr>
        <w:spacing w:after="0"/>
        <w:ind w:firstLine="480"/>
      </w:pPr>
      <w:r>
        <w:rPr>
          <w:sz w:val="24"/>
        </w:rPr>
        <w:t xml:space="preserve">构建基于Cori等[10]滑动窗口更新过程的时变再生数基线（1/2/3周窗）与朴素平移基准C_{t+1}=C_t展开全尺度分箱对拍，结果见表2。</w:t>
      </w:r>
    </w:p>
    <w:p w14:paraId="0010012A" w14:textId="0010012B">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C" w14:textId="0010012D">
            <w:r>
              <w:t xml:space="preserve">每周有效规模D_t</w:t>
            </w:r>
          </w:p>
        </w:tc>
        <w:tc>
          <w:p w14:paraId="0010012E" w14:textId="0010012F">
            <w:r>
              <w:t xml:space="preserve">样本数N</w:t>
            </w:r>
          </w:p>
        </w:tc>
        <w:tc>
          <w:p w14:paraId="00100130" w14:textId="00100131">
            <w:r>
              <w:t xml:space="preserve">阶段均值基准</w:t>
            </w:r>
          </w:p>
        </w:tc>
        <w:tc>
          <w:p w14:paraId="00100132" w14:textId="00100133">
            <w:r>
              <w:t xml:space="preserve">Cori 2周窗基线</w:t>
            </w:r>
          </w:p>
        </w:tc>
        <w:tc>
          <w:p w14:paraId="00100134" w14:textId="00100135">
            <w:r>
              <w:t xml:space="preserve">Cori 3周窗基线</w:t>
            </w:r>
          </w:p>
        </w:tc>
        <w:tc>
          <w:p w14:paraId="00100136" w14:textId="00100137">
            <w:r>
              <w:t xml:space="preserve">朴素平移基线</w:t>
            </w:r>
          </w:p>
        </w:tc>
      </w:tr>
      <w:tr>
        <w:trPr/>
        <w:tc>
          <w:p w14:paraId="00100138" w14:textId="00100139">
            <w:r>
              <w:t xml:space="preserve">[5,20)</w:t>
            </w:r>
          </w:p>
        </w:tc>
        <w:tc>
          <w:p w14:paraId="0010013A" w14:textId="0010013B">
            <w:r>
              <w:t xml:space="preserve">319</w:t>
            </w:r>
          </w:p>
        </w:tc>
        <w:tc>
          <w:p w14:paraId="0010013C" w14:textId="0010013D">
            <w:r>
              <w:t xml:space="preserve">0.3292</w:t>
            </w:r>
          </w:p>
        </w:tc>
        <w:tc>
          <w:p w14:paraId="0010013E" w14:textId="0010013F">
            <w:r>
              <w:t xml:space="preserve">0.6576</w:t>
            </w:r>
          </w:p>
        </w:tc>
        <w:tc>
          <w:p w14:paraId="00100140" w14:textId="00100141">
            <w:r>
              <w:t xml:space="preserve">0.5606</w:t>
            </w:r>
          </w:p>
        </w:tc>
        <w:tc>
          <w:p w14:paraId="00100142" w14:textId="00100143">
            <w:r>
              <w:t xml:space="preserve">1.2563</w:t>
            </w:r>
          </w:p>
        </w:tc>
      </w:tr>
      <w:tr>
        <w:trPr/>
        <w:tc>
          <w:p w14:paraId="00100144" w14:textId="00100145">
            <w:r>
              <w:t xml:space="preserve">[20,50)</w:t>
            </w:r>
          </w:p>
        </w:tc>
        <w:tc>
          <w:p w14:paraId="00100146" w14:textId="00100147">
            <w:r>
              <w:t xml:space="preserve">297</w:t>
            </w:r>
          </w:p>
        </w:tc>
        <w:tc>
          <w:p w14:paraId="00100148" w14:textId="00100149">
            <w:r>
              <w:t xml:space="preserve">0.1605</w:t>
            </w:r>
          </w:p>
        </w:tc>
        <w:tc>
          <w:p w14:paraId="0010014A" w14:textId="0010014B">
            <w:r>
              <w:t xml:space="preserve">0.2576</w:t>
            </w:r>
          </w:p>
        </w:tc>
        <w:tc>
          <w:p w14:paraId="0010014C" w14:textId="0010014D">
            <w:r>
              <w:t xml:space="preserve">0.2288</w:t>
            </w:r>
          </w:p>
        </w:tc>
        <w:tc>
          <w:p w14:paraId="0010014E" w14:textId="0010014F">
            <w:r>
              <w:t xml:space="preserve">0.5528</w:t>
            </w:r>
          </w:p>
        </w:tc>
      </w:tr>
      <w:tr>
        <w:trPr/>
        <w:tc>
          <w:p w14:paraId="00100150" w14:textId="00100151">
            <w:r>
              <w:t xml:space="preserve">[50,100)</w:t>
            </w:r>
          </w:p>
        </w:tc>
        <w:tc>
          <w:p w14:paraId="00100152" w14:textId="00100153">
            <w:r>
              <w:t xml:space="preserve">187</w:t>
            </w:r>
          </w:p>
        </w:tc>
        <w:tc>
          <w:p w14:paraId="00100154" w14:textId="00100155">
            <w:r>
              <w:t xml:space="preserve">0.1446</w:t>
            </w:r>
          </w:p>
        </w:tc>
        <w:tc>
          <w:p w14:paraId="00100156" w14:textId="00100157">
            <w:r>
              <w:t xml:space="preserve">0.2271</w:t>
            </w:r>
          </w:p>
        </w:tc>
        <w:tc>
          <w:p w14:paraId="00100158" w14:textId="00100159">
            <w:r>
              <w:t xml:space="preserve">0.1680</w:t>
            </w:r>
          </w:p>
        </w:tc>
        <w:tc>
          <w:p w14:paraId="0010015A" w14:textId="0010015B">
            <w:r>
              <w:t xml:space="preserve">0.5639</w:t>
            </w:r>
          </w:p>
        </w:tc>
      </w:tr>
      <w:tr>
        <w:trPr/>
        <w:tc>
          <w:p w14:paraId="0010015C" w14:textId="0010015D">
            <w:r>
              <w:t xml:space="preserve">[100,250)</w:t>
            </w:r>
          </w:p>
        </w:tc>
        <w:tc>
          <w:p w14:paraId="0010015E" w14:textId="0010015F">
            <w:r>
              <w:t xml:space="preserve">220</w:t>
            </w:r>
          </w:p>
        </w:tc>
        <w:tc>
          <w:p w14:paraId="00100160" w14:textId="00100161">
            <w:r>
              <w:t xml:space="preserve">0.1118</w:t>
            </w:r>
          </w:p>
        </w:tc>
        <w:tc>
          <w:p w14:paraId="00100162" w14:textId="00100163">
            <w:r>
              <w:t xml:space="preserve">0.0903</w:t>
            </w:r>
          </w:p>
        </w:tc>
        <w:tc>
          <w:p w14:paraId="00100164" w14:textId="00100165">
            <w:r>
              <w:t xml:space="preserve">0.0870</w:t>
            </w:r>
          </w:p>
        </w:tc>
        <w:tc>
          <w:p w14:paraId="00100166" w14:textId="00100167">
            <w:r>
              <w:t xml:space="preserve">0.3999</w:t>
            </w:r>
          </w:p>
        </w:tc>
      </w:tr>
      <w:tr>
        <w:trPr/>
        <w:tc>
          <w:p w14:paraId="00100168" w14:textId="00100169">
            <w:r>
              <w:t xml:space="preserve">[250,600)</w:t>
            </w:r>
          </w:p>
        </w:tc>
        <w:tc>
          <w:p w14:paraId="0010016A" w14:textId="0010016B">
            <w:r>
              <w:t xml:space="preserve">152</w:t>
            </w:r>
          </w:p>
        </w:tc>
        <w:tc>
          <w:p w14:paraId="0010016C" w14:textId="0010016D">
            <w:r>
              <w:t xml:space="preserve">0.1032</w:t>
            </w:r>
          </w:p>
        </w:tc>
        <w:tc>
          <w:p w14:paraId="0010016E" w14:textId="0010016F">
            <w:r>
              <w:t xml:space="preserve">0.0975</w:t>
            </w:r>
          </w:p>
        </w:tc>
        <w:tc>
          <w:p w14:paraId="00100170" w14:textId="00100171">
            <w:r>
              <w:t xml:space="preserve">0.0903</w:t>
            </w:r>
          </w:p>
        </w:tc>
        <w:tc>
          <w:p w14:paraId="00100172" w14:textId="00100173">
            <w:r>
              <w:t xml:space="preserve">0.2356</w:t>
            </w:r>
          </w:p>
        </w:tc>
      </w:tr>
      <w:tr>
        <w:trPr/>
        <w:tc>
          <w:p w14:paraId="00100174" w14:textId="00100175">
            <w:r>
              <w:t xml:space="preserve">[600,5000)</w:t>
            </w:r>
          </w:p>
        </w:tc>
        <w:tc>
          <w:p w14:paraId="00100176" w14:textId="00100177">
            <w:r>
              <w:t xml:space="preserve">92</w:t>
            </w:r>
          </w:p>
        </w:tc>
        <w:tc>
          <w:p w14:paraId="00100178" w14:textId="00100179">
            <w:r>
              <w:t xml:space="preserve">0.1054</w:t>
            </w:r>
          </w:p>
        </w:tc>
        <w:tc>
          <w:p w14:paraId="0010017A" w14:textId="0010017B">
            <w:r>
              <w:t xml:space="preserve">0.0983</w:t>
            </w:r>
          </w:p>
        </w:tc>
        <w:tc>
          <w:p w14:paraId="0010017C" w14:textId="0010017D">
            <w:r>
              <w:t xml:space="preserve">0.0982</w:t>
            </w:r>
          </w:p>
        </w:tc>
        <w:tc>
          <w:p w14:paraId="0010017E" w14:textId="0010017F">
            <w:r>
              <w:t xml:space="preserve">0.1360</w:t>
            </w:r>
          </w:p>
        </w:tc>
      </w:tr>
      <w:tr>
        <w:trPr/>
        <w:tc>
          <w:p w14:paraId="00100180" w14:textId="00100181">
            <w:r>
              <w:t xml:space="preserve">全体样本均值</w:t>
            </w:r>
          </w:p>
        </w:tc>
        <w:tc>
          <w:p w14:paraId="00100182" w14:textId="00100183">
            <w:r>
              <w:t xml:space="preserve">1267</w:t>
            </w:r>
          </w:p>
        </w:tc>
        <w:tc>
          <w:p w14:paraId="00100184" w14:textId="00100185">
            <w:r>
              <w:t xml:space="preserve">0.1813</w:t>
            </w:r>
          </w:p>
        </w:tc>
        <w:tc>
          <w:p w14:paraId="00100186" w14:textId="00100187">
            <w:r>
              <w:t xml:space="preserve">0.2876</w:t>
            </w:r>
          </w:p>
        </w:tc>
        <w:tc>
          <w:p w14:paraId="00100188" w14:textId="00100189">
            <w:r>
              <w:t xml:space="preserve">0.2490</w:t>
            </w:r>
          </w:p>
        </w:tc>
        <w:tc>
          <w:p w14:paraId="0010018A" w14:textId="0010018B">
            <w:r>
              <w:t xml:space="preserve">0.6367</w:t>
            </w:r>
          </w:p>
        </w:tc>
      </w:tr>
      <w:tr>
        <w:trPr/>
        <w:tc>
          <w:p w14:paraId="0010018C" w14:textId="0010018D">
            <w:r>
              <w:t xml:space="preserve">全体样本中位数</w:t>
            </w:r>
          </w:p>
        </w:tc>
        <w:tc>
          <w:p w14:paraId="0010018E" w14:textId="0010018F">
            <w:r>
              <w:t xml:space="preserve">1267</w:t>
            </w:r>
          </w:p>
        </w:tc>
        <w:tc>
          <w:p w14:paraId="00100190" w14:textId="00100191">
            <w:r>
              <w:t xml:space="preserve">0.0653</w:t>
            </w:r>
          </w:p>
        </w:tc>
        <w:tc>
          <w:p w14:paraId="00100192" w14:textId="00100193">
            <w:r>
              <w:t xml:space="preserve">0.0658</w:t>
            </w:r>
          </w:p>
        </w:tc>
        <w:tc>
          <w:p w14:paraId="00100194" w14:textId="00100195">
            <w:r>
              <w:t xml:space="preserve">0.0626</w:t>
            </w:r>
          </w:p>
        </w:tc>
        <w:tc>
          <w:p w14:paraId="00100196" w14:textId="00100197">
            <w:r>
              <w:t xml:space="preserve">0.1732</w:t>
            </w:r>
          </w:p>
        </w:tc>
      </w:tr>
    </w:tbl>
    <w:p w14:paraId="00100198" w14:textId="00100199">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A" w14:textId="0010019B">
      <w:pPr>
        <w:pStyle w:val="Heading2"/>
        <w:spacing w:before="200" w:after="80"/>
      </w:pPr>
      <w:r>
        <w:rPr>
          <w:b/>
          <w:sz w:val="24"/>
        </w:rPr>
        <w:t xml:space="preserve">5.4检验三：达峰与回落期的反证边界——平稳基准破缺而非规模失效</w:t>
      </w:r>
    </w:p>
    <w:p w14:paraId="0010019C" w14:textId="0010019D">
      <w:pPr>
        <w:spacing w:after="0"/>
        <w:ind w:firstLine="480"/>
      </w:pPr>
      <w:r>
        <w:rPr>
          <w:sz w:val="24"/>
        </w:rPr>
        <w:t xml:space="preserve">以初期平稳基准预测达峰期（N=1,220）时，分组误差见表3与图4(c)。</w:t>
      </w:r>
    </w:p>
    <w:p w14:paraId="0010019E" w14:textId="0010019F">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A0" w14:textId="001001A1">
            <w:r>
              <w:t xml:space="preserve">每周有效规模D_t</w:t>
            </w:r>
          </w:p>
        </w:tc>
        <w:tc>
          <w:p w14:paraId="001001A2" w14:textId="001001A3">
            <w:r>
              <w:t xml:space="preserve">样本数N</w:t>
            </w:r>
          </w:p>
        </w:tc>
        <w:tc>
          <w:p w14:paraId="001001A4" w14:textId="001001A5">
            <w:r>
              <w:t xml:space="preserve">相对均方误差</w:t>
            </w:r>
          </w:p>
        </w:tc>
        <w:tc>
          <w:p w14:paraId="001001A6" w14:textId="001001A7">
            <w:r>
              <w:t xml:space="preserve">中位数</w:t>
            </w:r>
          </w:p>
        </w:tc>
      </w:tr>
      <w:tr>
        <w:trPr/>
        <w:tc>
          <w:p w14:paraId="001001A8" w14:textId="001001A9">
            <w:r>
              <w:t xml:space="preserve">[5, 20)</w:t>
            </w:r>
          </w:p>
        </w:tc>
        <w:tc>
          <w:p w14:paraId="001001AA" w14:textId="001001AB">
            <w:r>
              <w:t xml:space="preserve">33</w:t>
            </w:r>
          </w:p>
        </w:tc>
        <w:tc>
          <w:p w14:paraId="001001AC" w14:textId="001001AD">
            <w:r>
              <w:t xml:space="preserve">0.2998</w:t>
            </w:r>
          </w:p>
        </w:tc>
        <w:tc>
          <w:p w14:paraId="001001AE" w14:textId="001001AF">
            <w:r>
              <w:t xml:space="preserve">0.2361</w:t>
            </w:r>
          </w:p>
        </w:tc>
      </w:tr>
      <w:tr>
        <w:trPr/>
        <w:tc>
          <w:p w14:paraId="001001B0" w14:textId="001001B1">
            <w:r>
              <w:t xml:space="preserve">[20, 50)</w:t>
            </w:r>
          </w:p>
        </w:tc>
        <w:tc>
          <w:p w14:paraId="001001B2" w14:textId="001001B3">
            <w:r>
              <w:t xml:space="preserve">140</w:t>
            </w:r>
          </w:p>
        </w:tc>
        <w:tc>
          <w:p w14:paraId="001001B4" w14:textId="001001B5">
            <w:r>
              <w:t xml:space="preserve">0.2927</w:t>
            </w:r>
          </w:p>
        </w:tc>
        <w:tc>
          <w:p w14:paraId="001001B6" w14:textId="001001B7">
            <w:r>
              <w:t xml:space="preserve">0.2591</w:t>
            </w:r>
          </w:p>
        </w:tc>
      </w:tr>
      <w:tr>
        <w:trPr/>
        <w:tc>
          <w:p w14:paraId="001001B8" w14:textId="001001B9">
            <w:r>
              <w:t xml:space="preserve">[50, 100)</w:t>
            </w:r>
          </w:p>
        </w:tc>
        <w:tc>
          <w:p w14:paraId="001001BA" w14:textId="001001BB">
            <w:r>
              <w:t xml:space="preserve">162</w:t>
            </w:r>
          </w:p>
        </w:tc>
        <w:tc>
          <w:p w14:paraId="001001BC" w14:textId="001001BD">
            <w:r>
              <w:t xml:space="preserve">0.3120</w:t>
            </w:r>
          </w:p>
        </w:tc>
        <w:tc>
          <w:p w14:paraId="001001BE" w14:textId="001001BF">
            <w:r>
              <w:t xml:space="preserve">0.3085</w:t>
            </w:r>
          </w:p>
        </w:tc>
      </w:tr>
      <w:tr>
        <w:trPr/>
        <w:tc>
          <w:p w14:paraId="001001C0" w14:textId="001001C1">
            <w:r>
              <w:t xml:space="preserve">[100, 250)</w:t>
            </w:r>
          </w:p>
        </w:tc>
        <w:tc>
          <w:p w14:paraId="001001C2" w14:textId="001001C3">
            <w:r>
              <w:t xml:space="preserve">312</w:t>
            </w:r>
          </w:p>
        </w:tc>
        <w:tc>
          <w:p w14:paraId="001001C4" w14:textId="001001C5">
            <w:r>
              <w:t xml:space="preserve">0.3049</w:t>
            </w:r>
          </w:p>
        </w:tc>
        <w:tc>
          <w:p w14:paraId="001001C6" w14:textId="001001C7">
            <w:r>
              <w:t xml:space="preserve">0.3005</w:t>
            </w:r>
          </w:p>
        </w:tc>
      </w:tr>
      <w:tr>
        <w:trPr/>
        <w:tc>
          <w:p w14:paraId="001001C8" w14:textId="001001C9">
            <w:r>
              <w:t xml:space="preserve">[250, 600)</w:t>
            </w:r>
          </w:p>
        </w:tc>
        <w:tc>
          <w:p w14:paraId="001001CA" w14:textId="001001CB">
            <w:r>
              <w:t xml:space="preserve">311</w:t>
            </w:r>
          </w:p>
        </w:tc>
        <w:tc>
          <w:p w14:paraId="001001CC" w14:textId="001001CD">
            <w:r>
              <w:t xml:space="preserve">0.2998</w:t>
            </w:r>
          </w:p>
        </w:tc>
        <w:tc>
          <w:p w14:paraId="001001CE" w14:textId="001001CF">
            <w:r>
              <w:t xml:space="preserve">0.2976</w:t>
            </w:r>
          </w:p>
        </w:tc>
      </w:tr>
      <w:tr>
        <w:trPr/>
        <w:tc>
          <w:p w14:paraId="001001D0" w14:textId="001001D1">
            <w:r>
              <w:t xml:space="preserve">[600, 5000)</w:t>
            </w:r>
          </w:p>
        </w:tc>
        <w:tc>
          <w:p w14:paraId="001001D2" w14:textId="001001D3">
            <w:r>
              <w:t xml:space="preserve">262</w:t>
            </w:r>
          </w:p>
        </w:tc>
        <w:tc>
          <w:p w14:paraId="001001D4" w14:textId="001001D5">
            <w:r>
              <w:t xml:space="preserve">0.2916</w:t>
            </w:r>
          </w:p>
        </w:tc>
        <w:tc>
          <w:p w14:paraId="001001D6" w14:textId="001001D7">
            <w:r>
              <w:t xml:space="preserve">0.2987</w:t>
            </w:r>
          </w:p>
        </w:tc>
      </w:tr>
    </w:tbl>
    <w:p w14:paraId="001001D8" w14:textId="001001D9">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A" w14:textId="001001DB">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C" w14:textId="001001DD">
            <w:r>
              <w:t xml:space="preserve">损失口径</w:t>
            </w:r>
          </w:p>
        </w:tc>
        <w:tc>
          <w:p w14:paraId="001001DE" w14:textId="001001DF">
            <w:r>
              <w:t xml:space="preserve">初期b</w:t>
            </w:r>
          </w:p>
        </w:tc>
        <w:tc>
          <w:p w14:paraId="001001E0" w14:textId="001001E1">
            <w:r>
              <w:t xml:space="preserve">达峰期b</w:t>
            </w:r>
          </w:p>
        </w:tc>
        <w:tc>
          <w:p w14:paraId="001001E2" w14:textId="001001E3">
            <w:r>
              <w:t xml:space="preserve">回答的问题</w:t>
            </w:r>
          </w:p>
        </w:tc>
      </w:tr>
      <w:tr>
        <w:trPr/>
        <w:tc>
          <w:p w14:paraId="001001E4" w14:textId="001001E5">
            <w:r>
              <w:t xml:space="preserve">未归一化损失</w:t>
            </w:r>
          </w:p>
        </w:tc>
        <w:tc>
          <w:p w14:paraId="001001E6" w14:textId="001001E7">
            <w:r>
              <w:t xml:space="preserve">6.2611</w:t>
            </w:r>
          </w:p>
        </w:tc>
        <w:tc>
          <w:p w14:paraId="001001E8" w14:textId="001001E9">
            <w:r>
              <w:t xml:space="preserve">5.1690</w:t>
            </w:r>
          </w:p>
        </w:tc>
        <w:tc>
          <w:p w14:paraId="001001EA" w14:textId="001001EB">
            <w:r>
              <w:t xml:space="preserve">增长代理的绝对误差规模</w:t>
            </w:r>
          </w:p>
        </w:tc>
      </w:tr>
      <w:tr>
        <w:trPr/>
        <w:tc>
          <w:p w14:paraId="001001EC" w14:textId="001001ED">
            <w:r>
              <w:t xml:space="preserve">共同分母归一化</w:t>
            </w:r>
          </w:p>
        </w:tc>
        <w:tc>
          <w:p w14:paraId="001001EE" w14:textId="001001EF">
            <w:r>
              <w:t xml:space="preserve">2.2434</w:t>
            </w:r>
          </w:p>
        </w:tc>
        <w:tc>
          <w:p w14:paraId="001001F0" w14:textId="001001F1">
            <w:r>
              <w:t xml:space="preserve">1.8521</w:t>
            </w:r>
          </w:p>
        </w:tc>
        <w:tc>
          <w:p w14:paraId="001001F2" w14:textId="001001F3">
            <w:r>
              <w:t xml:space="preserve">同一相对尺度下的阶段差异</w:t>
            </w:r>
          </w:p>
        </w:tc>
      </w:tr>
      <w:tr>
        <w:trPr/>
        <w:tc>
          <w:p w14:paraId="001001F4" w14:textId="001001F5">
            <w:r>
              <w:t xml:space="preserve">各阶段均值归一化</w:t>
            </w:r>
          </w:p>
        </w:tc>
        <w:tc>
          <w:p w14:paraId="001001F6" w14:textId="001001F7">
            <w:r>
              <w:t xml:space="preserve">2.2434</w:t>
            </w:r>
          </w:p>
        </w:tc>
        <w:tc>
          <w:p w14:paraId="001001F8" w14:textId="001001F9">
            <w:r>
              <w:t xml:space="preserve">7.9272</w:t>
            </w:r>
          </w:p>
        </w:tc>
        <w:tc>
          <w:p w14:paraId="001001FA" w14:textId="001001FB">
            <w:r>
              <w:t xml:space="preserve">各阶段相对自身基准的误差</w:t>
            </w:r>
          </w:p>
        </w:tc>
      </w:tr>
    </w:tbl>
    <w:p w14:paraId="001001FC" w14:textId="001001FD">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E" w14:textId="001001FF">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77d49a12121e41c8" cstate="print"/>
                    <a:stretch>
                      <a:fillRect/>
                    </a:stretch>
                  </pic:blipFill>
                  <pic:spPr>
                    <a:xfrm>
                      <a:off x="0" y="0"/>
                      <a:ext cx="5303520" cy="3875596"/>
                    </a:xfrm>
                    <a:prstGeom prst="rect">
                      <a:avLst/>
                    </a:prstGeom>
                  </pic:spPr>
                </pic:pic>
              </a:graphicData>
            </a:graphic>
          </wp:inline>
        </w:drawing>
      </w:r>
    </w:p>
    <w:p w14:paraId="00100200" w14:textId="00100201">
      <w:pPr>
        <w:spacing w:before="40" w:after="240"/>
        <w:jc w:val="center"/>
      </w:pPr>
      <w:r>
        <w:rPr>
          <w:b/>
          <w:sz w:val="21"/>
        </w:rPr>
        <w:t xml:space="preserve">图4 全美CDC NHSN流感住院真实监测数据实证与反证检验</w:t>
      </w:r>
    </w:p>
    <w:p w14:paraId="00100202" w14:textId="00100203">
      <w:pPr>
        <w:pStyle w:val="Heading2"/>
        <w:spacing w:before="200" w:after="80"/>
      </w:pPr>
      <w:r>
        <w:rPr>
          <w:b/>
          <w:sz w:val="24"/>
        </w:rPr>
        <w:t xml:space="preserve">5.5检验四：变量误差敏感性检验与分季独立2SLS工具变量估计</w:t>
      </w:r>
    </w:p>
    <w:p w14:paraId="00100204" w14:textId="00100205">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6" w14:textId="00100207">
      <w:pPr>
        <w:pStyle w:val="Heading2"/>
        <w:spacing w:before="200" w:after="80"/>
      </w:pPr>
      <w:r>
        <w:rPr>
          <w:b/>
          <w:sz w:val="24"/>
        </w:rPr>
        <w:t xml:space="preserve">5.6检验五：报告政策切换冲击的尾部放大效应与空间加总权衡</w:t>
      </w:r>
    </w:p>
    <w:p w14:paraId="00100208" w14:textId="00100209">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A" w14:textId="0010020B">
      <w:pPr>
        <w:pStyle w:val="Heading1"/>
        <w:spacing w:before="280" w:after="120"/>
      </w:pPr>
      <w:r>
        <w:rPr>
          <w:b/>
          <w:sz w:val="28"/>
        </w:rPr>
        <w:t xml:space="preserve">6讨论与政策启示</w:t>
      </w:r>
    </w:p>
    <w:p w14:paraId="0010020C" w14:textId="0010020D">
      <w:pPr>
        <w:pStyle w:val="Heading2"/>
        <w:spacing w:before="200" w:after="80"/>
      </w:pPr>
      <w:r>
        <w:rPr>
          <w:b/>
          <w:sz w:val="24"/>
        </w:rPr>
        <w:t xml:space="preserve">6.1机制讨论与理论对话</w:t>
      </w:r>
    </w:p>
    <w:p w14:paraId="0010020E" w14:textId="0010020F">
      <w:pPr>
        <w:spacing w:after="0"/>
        <w:ind w:firstLine="480"/>
      </w:pPr>
      <w:r>
        <w:rPr>
          <w:sz w:val="24"/>
        </w:rPr>
        <w:t xml:space="preserve">本文分析了病例规模对传染病监测推断的影响。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10" w14:textId="00100211">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2" w14:textId="00100213">
      <w:pPr>
        <w:pStyle w:val="Heading2"/>
        <w:spacing w:before="200" w:after="80"/>
      </w:pPr>
      <w:r>
        <w:rPr>
          <w:b/>
          <w:sz w:val="24"/>
        </w:rPr>
        <w:t xml:space="preserve">6.2研究局限与审慎边界</w:t>
      </w:r>
    </w:p>
    <w:p w14:paraId="00100214" w14:textId="00100215">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6" w14:textId="00100217">
      <w:pPr>
        <w:pStyle w:val="Heading2"/>
        <w:spacing w:before="200" w:after="80"/>
      </w:pPr>
      <w:r>
        <w:rPr>
          <w:b/>
          <w:sz w:val="24"/>
        </w:rPr>
        <w:t xml:space="preserve">6.3结论</w:t>
      </w:r>
    </w:p>
    <w:p w14:paraId="00100218" w14:textId="00100219">
      <w:pPr>
        <w:spacing w:after="0"/>
        <w:ind w:firstLine="480"/>
      </w:pPr>
      <w:r>
        <w:rPr>
          <w:sz w:val="24"/>
        </w:rPr>
        <w:t xml:space="preserve">本文构建了负二项分支过程与二项报告模型，分析了疫情监测中病例规模的推断收益边界。理论推导表明，推断跨期基准时存在由环境方差决定的交叉点，同时揭示了报告率与样本基数的非对称作用及成本约束下的权衡。全美 CDC NHSN 周度流感住院数据检验与该理论形态一致。结果显示规模收益真实存在但在达到数十例后明显放缓，各基准下约四至五成半（39%—55%）的误差份额落在与规模无关的拟合项上。未来可进一步结合气象行为协变量与状态空间滤波，拓展多毒株共存场景下的监测设计。</w:t>
      </w:r>
    </w:p>
    <w:p w14:paraId="0010021A" w14:textId="0010021B">
      <w:pPr>
        <w:pStyle w:val="Heading1"/>
        <w:spacing w:before="280" w:after="120"/>
      </w:pPr>
      <w:r>
        <w:rPr>
          <w:b/>
          <w:sz w:val="28"/>
        </w:rPr>
        <w:t xml:space="preserve">数据与代码可用性声明</w:t>
      </w:r>
    </w:p>
    <w:p w14:paraId="0010021C" w14:textId="0010021D">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E" w14:textId="0010021F">
      <w:pPr>
        <w:pStyle w:val="Heading1"/>
        <w:spacing w:before="280" w:after="120"/>
      </w:pPr>
      <w:r>
        <w:rPr>
          <w:b/>
          <w:sz w:val="28"/>
        </w:rPr>
        <w:t xml:space="preserve">参考文献</w:t>
      </w:r>
    </w:p>
    <w:p w14:paraId="00100220" w14:textId="00100221">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2" w14:textId="00100223">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4" w14:textId="00100225">
      <w:pPr>
        <w:spacing w:after="60"/>
      </w:pPr>
      <w:r>
        <w:rPr>
          <w:sz w:val="21"/>
        </w:rPr>
        <w:t xml:space="preserve">[3] Azmon A, Faes C, Hens N. On the estimation of the reproduction number based on misreported epidemic data. Statistics in Medicine, 2014, 33(7): 1176-1192. DOI: 10.1002/sim.6015.</w:t>
      </w:r>
    </w:p>
    <w:p w14:paraId="00100226" w14:textId="00100227">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8" w14:textId="00100229">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A" w14:textId="0010022B">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C" w14:textId="0010022D">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E" w14:textId="0010022F">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30" w14:textId="00100231">
      <w:pPr>
        <w:spacing w:after="60"/>
      </w:pPr>
      <w:r>
        <w:rPr>
          <w:sz w:val="21"/>
        </w:rPr>
        <w:t xml:space="preserve">[9] Fraser Christophe. Estimating individual and household reproduction numbers in an emerging epidemic. PLOS ONE, 2007, 2(8): e758. DOI: 10.1371/journal.pone.0000758.</w:t>
      </w:r>
    </w:p>
    <w:p w14:paraId="00100232" w14:textId="00100233">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4" w14:textId="00100235">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6" w14:textId="00100237">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8" w14:textId="00100239">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A" w14:textId="0010023B">
      <w:pPr>
        <w:spacing w:after="60"/>
      </w:pPr>
      <w:r>
        <w:rPr>
          <w:sz w:val="21"/>
        </w:rPr>
        <w:t xml:space="preserve">[14] Nouvellet Pierre, Cori Anne, Garske Tini, et al. A simple approach to measure transmissibility and forecast incidence. Epidemics, 2018, 22: 29-35. DOI: 10.1016/j.epidem.2017.02.012.</w:t>
      </w:r>
    </w:p>
    <w:p w14:paraId="0010023C" w14:textId="0010023D">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E" w14:textId="0010023F">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40" w14:textId="00100241">
      <w:pPr>
        <w:spacing w:after="60"/>
      </w:pPr>
      <w:r>
        <w:rPr>
          <w:sz w:val="21"/>
        </w:rPr>
        <w:t xml:space="preserve">[17] Parag Kris V, Donnelly Christl A, Zarebski Alexander E. Quantifying the information in noisy epidemic curves. Nature Computational Science, 2022, 2(9): 584-594. DOI: 10.1038/s43588-022-00313-1.</w:t>
      </w:r>
    </w:p>
    <w:p w14:paraId="00100242" w14:textId="00100243">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4" w14:textId="00100245">
      <w:pPr>
        <w:spacing w:after="60"/>
      </w:pPr>
      <w:r>
        <w:rPr>
          <w:sz w:val="21"/>
        </w:rPr>
        <w:t xml:space="preserve">[19] Parag Kris V, Lambert Ben, Donnelly Christl A, et al. Asymmetric limits on timely interventions from noisy epidemic data. Communications Physics, 2025, 8: 450. DOI: 10.1038/s42005-025-02358-w.</w:t>
      </w:r>
    </w:p>
    <w:p w14:paraId="00100246" w14:textId="00100247">
      <w:pPr>
        <w:spacing w:after="60"/>
      </w:pPr>
      <w:r>
        <w:rPr>
          <w:sz w:val="21"/>
        </w:rPr>
        <w:t xml:space="preserve">[20] Engen Steinar, Bakke Øyvind, Islam Aminul. Demographic and environmental stochasticity--concepts and definitions. Biometrics, 1998, 54(3): 840-846. DOI: 10.2307/2533838.</w:t>
      </w:r>
    </w:p>
    <w:p w14:paraId="00100248" w14:textId="00100249">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A" w14:textId="0010024B">
      <w:pPr>
        <w:spacing w:after="60"/>
      </w:pPr>
      <w:r>
        <w:rPr>
          <w:sz w:val="21"/>
        </w:rPr>
        <w:t xml:space="preserve">[22] Bretó Carles, He Daihai, Ionides Edward L, et al. Time series analysis via mechanistic models. The Annals of Applied Statistics, 2009, 3(1): 319-348. DOI: 10.1214/08-AOAS201.</w:t>
      </w:r>
    </w:p>
    <w:p w14:paraId="0010024C" w14:textId="0010024D">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E" w14:textId="0010024F">
      <w:pPr>
        <w:spacing w:after="60"/>
      </w:pPr>
      <w:r>
        <w:rPr>
          <w:sz w:val="21"/>
        </w:rPr>
        <w:t xml:space="preserve">[24] Fuller Wayne A. Measurement Error Models. New York: John Wiley &amp; Sons, 1987. DOI: 10.1002/9780470316665.</w:t>
      </w:r>
    </w:p>
    <w:p w14:paraId="00100250" w14:textId="00100251">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2" w14:textId="00100253">
      <w:pPr>
        <w:spacing w:after="60"/>
      </w:pPr>
      <w:r>
        <w:rPr>
          <w:sz w:val="21"/>
        </w:rPr>
        <w:t xml:space="preserve">[26] Verbeke Geert, Molenberghs Geert. Linear Mixed Models for Longitudinal Data. New York: Springer, 2000. DOI: 10.1007/978-1-4419-0300-6.</w:t>
      </w:r>
    </w:p>
    <w:p w14:paraId="00100254" w14:textId="00100255">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6" w14:textId="00100257">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8" w14:textId="00100259">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A" w14:textId="0010025B">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C" w14:textId="0010025D">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E" w14:textId="0010025F">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60" w14:textId="00100261">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2" w14:textId="00100263">
      <w:pPr>
        <w:spacing w:after="60"/>
      </w:pPr>
      <w:r>
        <w:rPr>
          <w:sz w:val="21"/>
        </w:rPr>
        <w:t xml:space="preserve">[34] Bosse Nikos I, Abbott Sam, Cori Anne, et al. Scoring epidemiological forecasts on transformed scales. PLOS Computational Biology, 2023, 19(8): e1011393. DOI: 10.1371/journal.pcbi.1011393.</w:t>
      </w:r>
    </w:p>
    <w:p w14:paraId="00100264" w14:textId="00100265">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6" w14:textId="00100267">
      <w:pPr>
        <w:spacing w:after="60"/>
      </w:pPr>
      <w:r>
        <w:rPr>
          <w:sz w:val="21"/>
        </w:rPr>
        <w:t xml:space="preserve">[36] Cochran William G. Sampling Techniques. 3rd ed. New York: John Wiley &amp; Sons, 1977.</w:t>
      </w:r>
    </w:p>
    <w:p w14:paraId="00100268" w14:textId="00100269">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A" w14:textId="0010026B">
      <w:pPr>
        <w:spacing w:after="60"/>
      </w:pPr>
      <w:r>
        <w:rPr>
          <w:sz w:val="21"/>
        </w:rPr>
        <w:t xml:space="preserve">[38] Tokars Jerome I, Olsen Sonja J, Reed Carrie. Seasonal incidence of symptomatic influenza in the United States. Clinical Infectious Diseases, 2018, 66(10): 1511-1518. DOI: 10.1093/cid/cix1060.</w:t>
      </w:r>
    </w:p>
    <w:p w14:paraId="0010026C" w14:textId="0010026D">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8282f912b89a4146"/>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E" w14:textId="00100270">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14652199c7be4f10" /><Relationship Type="http://schemas.openxmlformats.org/officeDocument/2006/relationships/styles" Target="/word/styles.xml" Id="R3589d58594ab4e3d" /><Relationship Type="http://schemas.openxmlformats.org/officeDocument/2006/relationships/theme" Target="/word/theme/theme1.xml" Id="R193e6d78d5f14d66" /><Relationship Type="http://schemas.openxmlformats.org/officeDocument/2006/relationships/numbering" Target="/word/numbering.xml" Id="Rf95dc9a107ea4a0c" /><Relationship Type="http://schemas.openxmlformats.org/officeDocument/2006/relationships/image" Target="/media/image.png" Id="R4014f59cf32f4399" /><Relationship Type="http://schemas.openxmlformats.org/officeDocument/2006/relationships/image" Target="/media/image2.png" Id="Re9ac87bef63f4c47" /><Relationship Type="http://schemas.openxmlformats.org/officeDocument/2006/relationships/image" Target="/media/image3.png" Id="Rd8911e2a77594c77" /><Relationship Type="http://schemas.openxmlformats.org/officeDocument/2006/relationships/image" Target="/media/image4.png" Id="R77d49a12121e41c8" /><Relationship Type="http://schemas.openxmlformats.org/officeDocument/2006/relationships/footer" Target="/word/footer1.xml" Id="R8282f912b89a414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2026-10-11T02:13:31Z</dcterms:created>
  <cp:lastModifiedBy>OfficeCLI</cp:lastModifiedBy>
  <dcterms:modified xsi:type="dcterms:W3CDTF">2026-10-11T02:13:31Z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2026-10-11T02:13:37Z</vt:lpwstr>
  </op:property>
</op:Properties>
</file>