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c532501c6c44341" /><Relationship Type="http://schemas.openxmlformats.org/package/2006/relationships/metadata/core-properties" Target="/docProps/core.xml" Id="R8290bfae81b64883" /><Relationship Type="http://schemas.openxmlformats.org/officeDocument/2006/relationships/extended-properties" Target="/docProps/app.xml" Id="R08c770c2f2824be6" /><Relationship Type="http://schemas.openxmlformats.org/officeDocument/2006/relationships/custom-properties" Target="/docProps/custom.xml" Id="Rde5119e07cda4035"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传染病预警的核心任务。直观上病例数越多测量精度越高，但在个体超传播、监测漏报与周际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矩估计量R̂_t=C_t/(ρn)为条件MLE，方差达到Fisher信息逆，随m=ρn单调收敛于零；（ii）推断跨期基础水平R̄时方差受环境底板v_R制约，导出环境项与规模项相等的平滑交叉点m_×；（iii）提高ρ仅消除漏报抽稀方差，唯有扩大基数n使各项方差同时衰减，拉长观测期数以O(1/T)削减环境方差；（iv）给出负二项单调似然比的精确增长判定检验与离散功效。实证方面，利用CDC NHSN 2020—2026年16218个州周流感住院数据：仿射FGLS拟合得规模相关方差项b=2.2434（95%CI[1.50,3.02]）、环境底板a=0.0991、经验交叉点22.6例/周；误差预算分解将平均误差定量为与规模无关份额39%–55%（回顾口径54.6%）、规模份额45%–61%（随基准口径移动），样本中已实现的大规模观测（D_t≥250）误差约为全体平均的六成；达峰期总体误差约89%来自平稳基准的常数偏差（各规模箱占比59.5%–94.8%不等）；统一损失尺度后达峰期内部规模项仍显著为正（b=7.93），但点估计低于初期（共同分母口径1.85对2.24）且阶段差异未达统计显著（交互项95%CI含零）——失效的是平稳性假定而非病例规模；时变交叉点在流感季（中位数19.7—20.4）与非流感季（46.9—47.9）间系统性分离。上述量化参照为监测资源在规模与协变量之间的配置比较提供了量级判断。</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下降转为增长，并对随后数周的病例负担作出前瞻预测，是传染病预警与应急响应的核心任务。直观上，病例数越多，随机计数波动的相对影响越小；但这一直观判断并不足以说明：病例规模增加到什么程度后，增长判定或短期预测精度的改善会明显放缓？尤其当病原体传播具有高度个体异质性（超传播）、监测系统存在显著漏报、且同一时期内的感染者共同受到气象、人群接触模式等周际环境随机扰动时，"样本量"与"信息量"不再能够简单等同[1,2]。</w:t>
      </w:r>
    </w:p>
    <w:p w14:paraId="0010000A" w14:textId="0010000B">
      <w:pPr>
        <w:ind w:firstLine="420"/>
      </w:pPr>
      <w:r>
        <w:rPr>
          <w:sz w:val="21"/>
        </w:rPr>
        <w:t xml:space="preserve">关于疫情监测数据中信息限制的研究已取得诸多奠基性成果。个体传播异质性的开创性工作表明，传统基于平均传播水平的推断严重掩盖了子代感染数的高度过离散[1]；基于发病序列更新过程估计时变再生数的模型，确立了现代实时监测的实用基准[2]。近年来，学者们进一步利用Fisher信息量框架系统探讨了不完全观测、报告延迟以及噪声疫情曲线所蕴含的信息损失[4]，揭示了疫情反弹识别的固有信息下界与非对称干预延迟[3,5]。在统计推断层面，针对存在系统性漏报的监测序列，状态空间与序列更新模型也已得到系统发展[7,8,10]。此外，人口统计随机性与共同环境随机性的区分在非线性流行病学模型中亦有悠久的理论渊源[9,11]。</w:t>
      </w:r>
    </w:p>
    <w:p w14:paraId="0010000C" w14:textId="0010000D">
      <w:pPr>
        <w:ind w:firstLine="420"/>
      </w:pPr>
      <w:r>
        <w:rPr>
          <w:sz w:val="21"/>
        </w:rPr>
        <w:t xml:space="preserve">然而，对"病例规模何时不再是主要推断瓶颈"的回答，首先取决于究竟要估计什么。如果推断目标是当期环境条件下的特定传播参数，那么在模型正确设定的理想条件下，更多病例可以不断提高对该参数的测量精度；但如果目标是跨周稳定的潜在基础增长趋势，则单周病例数即使非常巨大，在缺乏外部环境协变量时，也无法仅凭这一周的数据消除共同环境扰动。值得注意的是，既有信息下界均建立在当期再生数R_t的估计目标之上——在该目标下，信息量随期望病例数近似线性增长。本文与之形成正面对话：一旦更换估计目标，规模的边际信息价值随之整个改变。换言之，"病例数是不是瓶颈"不是问题的属性，而是估计目标的属性，这一目标依赖性正是既有框架未曾显式刻画的维度。</w:t>
      </w:r>
    </w:p>
    <w:p w14:paraId="0010000E" w14:textId="0010000F">
      <w:pPr>
        <w:ind w:firstLine="420"/>
      </w:pPr>
      <w:r>
        <w:rPr>
          <w:sz w:val="21"/>
        </w:rPr>
        <w:t xml:space="preserve">本文的贡献不在于单独提出新的负二项分支模型或漏报校正公式，而在于针对"病例规模何时不再主导推断误差"这一具体监测设计问题，建立一个分层随机推断框架：（1）严格区分当期传播参数与跨期基础水平两类估计目标，证明二者对病例规模的边际方差响应截然不同，并解析导出环境项与抽样项相等的平滑交叉点m_×；（2）精确拆解监测杠杆的非对称性：提高报告率仅能消除漏报抽稀方差，唯有扩大真实基数才能使两项方差同时衰减；（3）在总预算约束下严格推导拉长观测期数削减环境方差的精确表达式与离散可行设计集合；（4）给出基于负二项离散尾概率的精确增长判定检验与功效公式，并剥离事后增长统计量与事前单步预测的代数关系；（5）利用全美16218个州周真实流感住院监测数据完成实证检验，识别出达峰期失效的是跨期平稳基准假定而非病例规模本身，并给出误差预算份额分解与时变经验交叉点：仿射拟合中过半误差份额与规模无关，样本中已实现的大规模观测误差约为全体平均的六成。</w:t>
      </w:r>
    </w:p>
    <w:p w14:paraId="00100010" w14:textId="00100011">
      <w:pPr>
        <w:ind w:firstLine="420"/>
      </w:pPr>
      <w:r>
        <w:rPr>
          <w:sz w:val="21"/>
        </w:rPr>
        <w:t xml:space="preserve">本文的结构安排如下：第1节回顾相关研究；第2节给出传播与报告模型及两类估计目标的界定；第3节呈现理论结果；第4节报告数值模拟评估；第5节为全美流感住院监测数据的实证检验；第6节总结全文。</w:t>
      </w:r>
    </w:p>
    <w:p w14:paraId="00100012" w14:textId="00100013">
      <w:pPr>
        <w:pStyle w:val="Heading1"/>
        <w:spacing w:before="260" w:after="260"/>
      </w:pPr>
      <w:r>
        <w:rPr>
          <w:b/>
          <w:sz w:val="32"/>
        </w:rPr>
        <w:t xml:space="preserve">1研究回顾</w:t>
      </w:r>
    </w:p>
    <w:p w14:paraId="00100014" w14:textId="00100015">
      <w:pPr>
        <w:ind w:firstLine="420"/>
      </w:pPr>
      <w:r>
        <w:rPr>
          <w:sz w:val="21"/>
        </w:rPr>
        <w:t xml:space="preserve">与本文相关的文献可分为三支。第一支是传播异质性与更新过程建模。Lloyd-Smith等[1]在Nature上建立了负二项分支过程框架，证明子代感染数的高度过离散使传统基于平均再生数的推断严重低估爆发风险，本文的个体传播模型直接沿用其负二项参数化。Cori等[2]提出基于瞬时更新过程的时变再生数估计框架（EpiEstim），成为现代实时监测的实用基准；Steyn等[10]系统综述了更新过程推断与序贯蒙特卡洛预测的最新进展。第二支是监测信息下界。Parag等[4]利用Fisher信息量量化了噪声疫情曲线所携带的信息，[3]进一步给出了以有效再生数实时识别疫情反弹的根本性下界，[5]揭示了误报与漏报代价不对称下的干预时机极限。这些下界均针对当期参数估计目标；本文证明更换估计目标（跨期基础水平）后，规模的信息标度律整体改变，从而与该支文献形成互补而非竞争。第三支是漏报下的状态空间推断。Bracher与Held[7]提出边缘矩匹配方法拟合漏报监测计数；Bhatt等[8]发展了半机制贝叶斯 renewal 建模；Bosse等[6]讨论了变换尺度下的预测评分。此外，Rasmussen等[9]与Aber等[11]分别从谱系推断与时间序列波动率角度区分了人口统计随机性与环境随机性，本文的环境方差底板概念与之同源。</w:t>
      </w:r>
    </w:p>
    <w:p w14:paraId="00100016" w14:textId="00100017">
      <w:pPr>
        <w:ind w:firstLine="420"/>
      </w:pPr>
      <w:r>
        <w:rPr>
          <w:sz w:val="21"/>
        </w:rPr>
        <w:t xml:space="preserve">综上，既有研究分别刻画了超传播、漏报与环境扰动各自对推断的影响，但"病例规模何时不再主导误差"这一监测设计问题——尤其其随估计目标变化的性质——尚未被系统回答。本文的差异化定位即在于此。</w:t>
      </w:r>
    </w:p>
    <w:p w14:paraId="00100018" w14:textId="00100019">
      <w:pPr>
        <w:pStyle w:val="Heading1"/>
        <w:spacing w:before="260" w:after="260"/>
      </w:pPr>
      <w:r>
        <w:rPr>
          <w:b/>
          <w:sz w:val="32"/>
        </w:rPr>
        <w:t xml:space="preserve">2模型与估计目标</w:t>
      </w:r>
    </w:p>
    <w:p w14:paraId="0010001A" w14:textId="0010001B">
      <w:pPr>
        <w:pStyle w:val="Heading2"/>
        <w:spacing w:before="240" w:after="120"/>
      </w:pPr>
      <w:r>
        <w:rPr>
          <w:b/>
          <w:sz w:val="28"/>
        </w:rPr>
        <w:t xml:space="preserve">2.1传播与报告模型</w:t>
      </w:r>
    </w:p>
    <w:p w14:paraId="0010001C" w14:textId="0010001D">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1E" w14:textId="0010001F">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0" w14:textId="00100021">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2" w14:textId="00100023">
      <w:pPr>
        <w:pStyle w:val="Heading2"/>
        <w:spacing w:before="240" w:after="120"/>
      </w:pPr>
      <w:r>
        <w:rPr>
          <w:b/>
          <w:sz w:val="28"/>
        </w:rPr>
        <w:t xml:space="preserve">2.2两种估计目标与信息集</w:t>
      </w:r>
    </w:p>
    <w:p w14:paraId="00100024" w14:textId="00100025">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6" w14:textId="00100027">
      <w:pPr>
        <w:pStyle w:val="Heading1"/>
        <w:spacing w:before="260" w:after="260"/>
      </w:pPr>
      <w:r>
        <w:rPr>
          <w:b/>
          <w:sz w:val="32"/>
        </w:rPr>
        <w:t xml:space="preserve">3理论结果</w:t>
      </w:r>
    </w:p>
    <w:p w14:paraId="00100028" w14:textId="00100029">
      <w:pPr>
        <w:pStyle w:val="Heading2"/>
        <w:spacing w:before="240" w:after="120"/>
      </w:pPr>
      <w:r>
        <w:rPr>
          <w:b/>
          <w:sz w:val="28"/>
        </w:rPr>
        <w:t xml:space="preserve">3.1当期传播参数的条件似然、Fisher信息与方差</w:t>
      </w:r>
    </w:p>
    <w:p w14:paraId="0010002A" w14:textId="0010002B">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2C" w14:textId="0010002D">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2E" w14:textId="0010002F">
      <w:pPr>
        <w:ind w:firstLine="420"/>
      </w:pPr>
      <w:r>
        <w:rPr>
          <w:sz w:val="21"/>
        </w:rPr>
        <w:t xml:space="preserve">（iv）估计量的条件方差严格达到Cramér–Rao下界：</w:t>
      </w:r>
    </w:p>
    <w:p w14:paraId="00100030" w14:textId="00100031">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sSub>
                <m:e>
                  <m:r>
                    <m:t xml:space="preserve"> 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2" w14:textId="00100033">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4" w14:textId="00100035">
      <w:pPr>
        <w:pStyle w:val="Heading2"/>
        <w:spacing w:before="240" w:after="120"/>
      </w:pPr>
      <w:r>
        <w:rPr>
          <w:b/>
          <w:sz w:val="28"/>
        </w:rPr>
        <w:t xml:space="preserve">3.2跨期基础水平的单期边际方差与交叉点</w:t>
      </w:r>
    </w:p>
    <w:p w14:paraId="00100036" w14:textId="00100037">
      <w:pPr>
        <w:ind w:firstLine="420"/>
      </w:pPr>
      <w:r>
        <w:rPr>
          <w:sz w:val="21"/>
        </w:rPr>
        <w:t xml:space="preserve">命题2：在条件矩假设下，以单期估计量C_t/(ρn)估计跨期基础水平R̄，其给定n的条件边际方差为</w:t>
      </w:r>
    </w:p>
    <w:p w14:paraId="00100038" w14:textId="00100039">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r>
                <m:t xml:space="preserve"> 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3A" w14:textId="0010003B">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3C" w14:textId="0010003D">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3E" w14:textId="0010003F">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0" w14:textId="00100041">
      <w:pPr>
        <w:pStyle w:val="Heading2"/>
        <w:spacing w:before="240" w:after="120"/>
      </w:pPr>
      <w:r>
        <w:rPr>
          <w:b/>
          <w:sz w:val="28"/>
        </w:rPr>
        <w:t xml:space="preserve">3.3监测杠杆的非对称性</w:t>
      </w:r>
    </w:p>
    <w:p w14:paraId="00100042" w14:textId="00100043">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4" w14:textId="00100045">
      <w:pPr>
        <w:pStyle w:val="Heading2"/>
        <w:spacing w:before="240" w:after="120"/>
      </w:pPr>
      <w:r>
        <w:rPr>
          <w:b/>
          <w:sz w:val="28"/>
        </w:rPr>
        <w:t xml:space="preserve">3.4预算约束下的监测维度权衡</w:t>
      </w:r>
    </w:p>
    <w:p w14:paraId="00100046" w14:textId="00100047">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8" w14:textId="00100049">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4A" w14:textId="0010004B">
      <w:pPr>
        <w:ind w:firstLine="420"/>
      </w:pPr>
      <w:r>
        <w:rPr>
          <w:sz w:val="21"/>
        </w:rPr>
        <w:t xml:space="preserve">大期数下可近似为有效独立期数T_eff=T(1-r)/(1+r)。当要求各期风险集为正整数且精确用尽预算时，可行设计集合为{T:B/(ρT)∈N_+}，即B/ρ的正整数因子集合。</w:t>
      </w:r>
    </w:p>
    <w:p w14:paraId="0010004C" w14:textId="0010004D">
      <w:pPr>
        <w:pStyle w:val="Heading2"/>
        <w:spacing w:before="240" w:after="120"/>
      </w:pPr>
      <w:r>
        <w:rPr>
          <w:b/>
          <w:sz w:val="28"/>
        </w:rPr>
        <w:t xml:space="preserve">3.5增长判定检验与预测方差分解</w:t>
      </w:r>
    </w:p>
    <w:p w14:paraId="0010004E" w14:textId="0010004F">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0" w14:textId="00100051">
      <w:pPr>
        <w:pStyle w:val="Heading1"/>
        <w:spacing w:before="260" w:after="260"/>
      </w:pPr>
      <w:r>
        <w:rPr>
          <w:b/>
          <w:sz w:val="32"/>
        </w:rPr>
        <w:t xml:space="preserve">4数值模拟评估</w:t>
      </w:r>
    </w:p>
    <w:p w14:paraId="00100052" w14:textId="00100053">
      <w:pPr>
        <w:pStyle w:val="Heading2"/>
        <w:spacing w:before="240" w:after="120"/>
      </w:pPr>
      <w:r>
        <w:rPr>
          <w:b/>
          <w:sz w:val="28"/>
        </w:rPr>
        <w:t xml:space="preserve">4.1增长判定检验的有限样本功效</w:t>
      </w:r>
    </w:p>
    <w:p w14:paraId="00100054" w14:textId="00100055">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6" w14:textId="00100057">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71665655f3c44929" cstate="print"/>
                    <a:stretch>
                      <a:fillRect/>
                    </a:stretch>
                  </pic:blipFill>
                  <pic:spPr>
                    <a:xfrm>
                      <a:off x="0" y="0"/>
                      <a:ext cx="5394960" cy="1476826"/>
                    </a:xfrm>
                    <a:prstGeom prst="rect">
                      <a:avLst/>
                    </a:prstGeom>
                  </pic:spPr>
                </pic:pic>
              </a:graphicData>
            </a:graphic>
          </wp:inline>
        </w:drawing>
      </w:r>
    </w:p>
    <w:p w14:paraId="00100058" w14:textId="00100059">
      <w:pPr>
        <w:spacing w:before="60" w:after="200"/>
        <w:jc w:val="center"/>
      </w:pPr>
      <w:r>
        <w:rPr>
          <w:b/>
          <w:sz w:val="18"/>
        </w:rPr>
        <w:t xml:space="preserve">图1 当期超临界增长判定检验功效与有限样本性质验证</w:t>
      </w:r>
    </w:p>
    <w:p w14:paraId="0010005A" w14:textId="0010005B">
      <w:pPr>
        <w:pStyle w:val="Heading2"/>
        <w:spacing w:before="240" w:after="120"/>
      </w:pPr>
      <w:r>
        <w:rPr>
          <w:b/>
          <w:sz w:val="28"/>
        </w:rPr>
        <w:t xml:space="preserve">4.2更新过程的预测误差与参照曲线</w:t>
      </w:r>
    </w:p>
    <w:p w14:paraId="0010005C" w14:textId="0010005D">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5E" w14:textId="0010005F">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109ec3dfeafa4ac2" cstate="print"/>
                    <a:stretch>
                      <a:fillRect/>
                    </a:stretch>
                  </pic:blipFill>
                  <pic:spPr>
                    <a:xfrm>
                      <a:off x="0" y="0"/>
                      <a:ext cx="5394960" cy="1435463"/>
                    </a:xfrm>
                    <a:prstGeom prst="rect">
                      <a:avLst/>
                    </a:prstGeom>
                  </pic:spPr>
                </pic:pic>
              </a:graphicData>
            </a:graphic>
          </wp:inline>
        </w:drawing>
      </w:r>
    </w:p>
    <w:p w14:paraId="00100060" w14:textId="00100061">
      <w:pPr>
        <w:spacing w:before="60" w:after="200"/>
        <w:jc w:val="center"/>
      </w:pPr>
      <w:r>
        <w:rPr>
          <w:b/>
          <w:sz w:val="18"/>
        </w:rPr>
        <w:t xml:space="preserve">图2 更新过程事后增长统计量与事前单步病例预测误差对照</w:t>
      </w:r>
    </w:p>
    <w:p w14:paraId="00100062" w14:textId="00100063">
      <w:pPr>
        <w:pStyle w:val="Heading1"/>
        <w:spacing w:before="260" w:after="260"/>
      </w:pPr>
      <w:r>
        <w:rPr>
          <w:b/>
          <w:sz w:val="32"/>
        </w:rPr>
        <w:t xml:space="preserve">5实证检验：全美流感住院监测数据（2020—2026）</w:t>
      </w:r>
    </w:p>
    <w:p w14:paraId="00100064" w14:textId="00100065">
      <w:pPr>
        <w:pStyle w:val="Heading2"/>
        <w:spacing w:before="240" w:after="120"/>
      </w:pPr>
      <w:r>
        <w:rPr>
          <w:b/>
          <w:sz w:val="28"/>
        </w:rPr>
        <w:t xml:space="preserve">5.1数据源、制度分段与预处理</w:t>
      </w:r>
    </w:p>
    <w:p w14:paraId="00100066" w14:textId="00100067">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68" w14:textId="00100069">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6A" w14:textId="0010006B">
      <w:pPr>
        <w:pStyle w:val="Heading2"/>
        <w:spacing w:before="240" w:after="120"/>
      </w:pPr>
      <w:r>
        <w:rPr>
          <w:b/>
          <w:sz w:val="28"/>
        </w:rPr>
        <w:t xml:space="preserve">5.2检验一：流行初期波段的方差衰减与误差预算分解</w:t>
      </w:r>
    </w:p>
    <w:p w14:paraId="0010006C" w14:textId="0010006D">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6E" w14:textId="0010006F">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0" w14:textId="00100071">
            <w:r>
              <w:t xml:space="preserve">每周有效规模D_t</w:t>
            </w:r>
          </w:p>
        </w:tc>
        <w:tc>
          <w:p w14:paraId="00100072" w14:textId="00100073">
            <w:r>
              <w:t xml:space="preserve">N</w:t>
            </w:r>
          </w:p>
        </w:tc>
        <w:tc>
          <w:p w14:paraId="00100074" w14:textId="00100075">
            <w:r>
              <w:t xml:space="preserve">相对均方误差</w:t>
            </w:r>
          </w:p>
        </w:tc>
        <w:tc>
          <w:p w14:paraId="00100076" w14:textId="00100077">
            <w:r>
              <w:t xml:space="preserve">中位数</w:t>
            </w:r>
          </w:p>
        </w:tc>
        <w:tc>
          <w:p w14:paraId="00100078" w14:textId="00100079">
            <w:r>
              <w:t xml:space="preserve">普通SEM</w:t>
            </w:r>
          </w:p>
        </w:tc>
        <w:tc>
          <w:p w14:paraId="0010007A" w14:textId="0010007B">
            <w:r>
              <w:t xml:space="preserve">州聚类SE</w:t>
            </w:r>
          </w:p>
        </w:tc>
        <w:tc>
          <w:p w14:paraId="0010007C" w14:textId="0010007D">
            <w:r>
              <w:t xml:space="preserve">州聚类95%CI</w:t>
            </w:r>
          </w:p>
        </w:tc>
      </w:tr>
      <w:tr>
        <w:trPr/>
        <w:tc>
          <w:p w14:paraId="0010007E" w14:textId="0010007F">
            <w:r>
              <w:t xml:space="preserve">[5,20)</w:t>
            </w:r>
          </w:p>
        </w:tc>
        <w:tc>
          <w:p w14:paraId="00100080" w14:textId="00100081">
            <w:r>
              <w:t xml:space="preserve">319</w:t>
            </w:r>
          </w:p>
        </w:tc>
        <w:tc>
          <w:p w14:paraId="00100082" w14:textId="00100083">
            <w:r>
              <w:t xml:space="preserve">0.3292</w:t>
            </w:r>
          </w:p>
        </w:tc>
        <w:tc>
          <w:p w14:paraId="00100084" w14:textId="00100085">
            <w:r>
              <w:t xml:space="preserve">0.0969</w:t>
            </w:r>
          </w:p>
        </w:tc>
        <w:tc>
          <w:p w14:paraId="00100086" w14:textId="00100087">
            <w:r>
              <w:t xml:space="preserve">0.0425</w:t>
            </w:r>
          </w:p>
        </w:tc>
        <w:tc>
          <w:p w14:paraId="00100088" w14:textId="00100089">
            <w:r>
              <w:t xml:space="preserve">0.0437</w:t>
            </w:r>
          </w:p>
        </w:tc>
        <w:tc>
          <w:p w14:paraId="0010008A" w14:textId="0010008B">
            <w:r>
              <w:t xml:space="preserve">[0.2435,0.4149]</w:t>
            </w:r>
          </w:p>
        </w:tc>
      </w:tr>
      <w:tr>
        <w:trPr/>
        <w:tc>
          <w:p w14:paraId="0010008C" w14:textId="0010008D">
            <w:r>
              <w:t xml:space="preserve">[20,50)</w:t>
            </w:r>
          </w:p>
        </w:tc>
        <w:tc>
          <w:p w14:paraId="0010008E" w14:textId="0010008F">
            <w:r>
              <w:t xml:space="preserve">297</w:t>
            </w:r>
          </w:p>
        </w:tc>
        <w:tc>
          <w:p w14:paraId="00100090" w14:textId="00100091">
            <w:r>
              <w:t xml:space="preserve">0.1605</w:t>
            </w:r>
          </w:p>
        </w:tc>
        <w:tc>
          <w:p w14:paraId="00100092" w14:textId="00100093">
            <w:r>
              <w:t xml:space="preserve">0.0596</w:t>
            </w:r>
          </w:p>
        </w:tc>
        <w:tc>
          <w:p w14:paraId="00100094" w14:textId="00100095">
            <w:r>
              <w:t xml:space="preserve">0.0169</w:t>
            </w:r>
          </w:p>
        </w:tc>
        <w:tc>
          <w:p w14:paraId="00100096" w14:textId="00100097">
            <w:r>
              <w:t xml:space="preserve">0.0189</w:t>
            </w:r>
          </w:p>
        </w:tc>
        <w:tc>
          <w:p w14:paraId="00100098" w14:textId="00100099">
            <w:r>
              <w:t xml:space="preserve">[0.1235,0.1974]</w:t>
            </w:r>
          </w:p>
        </w:tc>
      </w:tr>
      <w:tr>
        <w:trPr/>
        <w:tc>
          <w:p w14:paraId="0010009A" w14:textId="0010009B">
            <w:r>
              <w:t xml:space="preserve">[50,100)</w:t>
            </w:r>
          </w:p>
        </w:tc>
        <w:tc>
          <w:p w14:paraId="0010009C" w14:textId="0010009D">
            <w:r>
              <w:t xml:space="preserve">187</w:t>
            </w:r>
          </w:p>
        </w:tc>
        <w:tc>
          <w:p w14:paraId="0010009E" w14:textId="0010009F">
            <w:r>
              <w:t xml:space="preserve">0.1446</w:t>
            </w:r>
          </w:p>
        </w:tc>
        <w:tc>
          <w:p w14:paraId="001000A0" w14:textId="001000A1">
            <w:r>
              <w:t xml:space="preserve">0.0483</w:t>
            </w:r>
          </w:p>
        </w:tc>
        <w:tc>
          <w:p w14:paraId="001000A2" w14:textId="001000A3">
            <w:r>
              <w:t xml:space="preserve">0.0194</w:t>
            </w:r>
          </w:p>
        </w:tc>
        <w:tc>
          <w:p w14:paraId="001000A4" w14:textId="001000A5">
            <w:r>
              <w:t xml:space="preserve">0.0198</w:t>
            </w:r>
          </w:p>
        </w:tc>
        <w:tc>
          <w:p w14:paraId="001000A6" w14:textId="001000A7">
            <w:r>
              <w:t xml:space="preserve">[0.1057,0.1835]</w:t>
            </w:r>
          </w:p>
        </w:tc>
      </w:tr>
      <w:tr>
        <w:trPr/>
        <w:tc>
          <w:p w14:paraId="001000A8" w14:textId="001000A9">
            <w:r>
              <w:t xml:space="preserve">[100,250)</w:t>
            </w:r>
          </w:p>
        </w:tc>
        <w:tc>
          <w:p w14:paraId="001000AA" w14:textId="001000AB">
            <w:r>
              <w:t xml:space="preserve">220</w:t>
            </w:r>
          </w:p>
        </w:tc>
        <w:tc>
          <w:p w14:paraId="001000AC" w14:textId="001000AD">
            <w:r>
              <w:t xml:space="preserve">0.1118</w:t>
            </w:r>
          </w:p>
        </w:tc>
        <w:tc>
          <w:p w14:paraId="001000AE" w14:textId="001000AF">
            <w:r>
              <w:t xml:space="preserve">0.0545</w:t>
            </w:r>
          </w:p>
        </w:tc>
        <w:tc>
          <w:p w14:paraId="001000B0" w14:textId="001000B1">
            <w:r>
              <w:t xml:space="preserve">0.0110</w:t>
            </w:r>
          </w:p>
        </w:tc>
        <w:tc>
          <w:p w14:paraId="001000B2" w14:textId="001000B3">
            <w:r>
              <w:t xml:space="preserve">0.0114</w:t>
            </w:r>
          </w:p>
        </w:tc>
        <w:tc>
          <w:p w14:paraId="001000B4" w14:textId="001000B5">
            <w:r>
              <w:t xml:space="preserve">[0.0895,0.1341]</w:t>
            </w:r>
          </w:p>
        </w:tc>
      </w:tr>
      <w:tr>
        <w:trPr/>
        <w:tc>
          <w:p w14:paraId="001000B6" w14:textId="001000B7">
            <w:r>
              <w:t xml:space="preserve">[250,600)</w:t>
            </w:r>
          </w:p>
        </w:tc>
        <w:tc>
          <w:p w14:paraId="001000B8" w14:textId="001000B9">
            <w:r>
              <w:t xml:space="preserve">152</w:t>
            </w:r>
          </w:p>
        </w:tc>
        <w:tc>
          <w:p w14:paraId="001000BA" w14:textId="001000BB">
            <w:r>
              <w:t xml:space="preserve">0.1032</w:t>
            </w:r>
          </w:p>
        </w:tc>
        <w:tc>
          <w:p w14:paraId="001000BC" w14:textId="001000BD">
            <w:r>
              <w:t xml:space="preserve">0.0460</w:t>
            </w:r>
          </w:p>
        </w:tc>
        <w:tc>
          <w:p w14:paraId="001000BE" w14:textId="001000BF">
            <w:r>
              <w:t xml:space="preserve">0.0097</w:t>
            </w:r>
          </w:p>
        </w:tc>
        <w:tc>
          <w:p w14:paraId="001000C0" w14:textId="001000C1">
            <w:r>
              <w:t xml:space="preserve">0.0133</w:t>
            </w:r>
          </w:p>
        </w:tc>
        <w:tc>
          <w:p w14:paraId="001000C2" w14:textId="001000C3">
            <w:r>
              <w:t xml:space="preserve">[0.0771,0.1293]</w:t>
            </w:r>
          </w:p>
        </w:tc>
      </w:tr>
      <w:tr>
        <w:trPr/>
        <w:tc>
          <w:p w14:paraId="001000C4" w14:textId="001000C5">
            <w:r>
              <w:t xml:space="preserve">[600,5000)</w:t>
            </w:r>
          </w:p>
        </w:tc>
        <w:tc>
          <w:p w14:paraId="001000C6" w14:textId="001000C7">
            <w:r>
              <w:t xml:space="preserve">92</w:t>
            </w:r>
          </w:p>
        </w:tc>
        <w:tc>
          <w:p w14:paraId="001000C8" w14:textId="001000C9">
            <w:r>
              <w:t xml:space="preserve">0.1054</w:t>
            </w:r>
          </w:p>
        </w:tc>
        <w:tc>
          <w:p w14:paraId="001000CA" w14:textId="001000CB">
            <w:r>
              <w:t xml:space="preserve">0.0735</w:t>
            </w:r>
          </w:p>
        </w:tc>
        <w:tc>
          <w:p w14:paraId="001000CC" w14:textId="001000CD">
            <w:r>
              <w:t xml:space="preserve">0.0109</w:t>
            </w:r>
          </w:p>
        </w:tc>
        <w:tc>
          <w:p w14:paraId="001000CE" w14:textId="001000CF">
            <w:r>
              <w:t xml:space="preserve">0.0146</w:t>
            </w:r>
          </w:p>
        </w:tc>
        <w:tc>
          <w:p w14:paraId="001000D0" w14:textId="001000D1">
            <w:r>
              <w:t xml:space="preserve">[0.0769,0.1340]</w:t>
            </w:r>
          </w:p>
        </w:tc>
      </w:tr>
    </w:tbl>
    <w:p w14:paraId="001000D2" w14:textId="001000D3">
      <w:pPr>
        <w:ind w:firstLine="420"/>
      </w:pPr>
      <w:r>
        <w:rPr>
          <w:sz w:val="21"/>
        </w:rPr>
        <w:t xml:space="preserve">针对D_t与C_{t+1}共享报告噪声的变量误差问题，以滞后3–5周报告序列构造的工具规模D_t^iv做两阶段最小二乘对照（有效样本N=1,051；工具的关键假定是滞后核仅通过规模D_t影响当期损失；该排除限制未获验证，持续传播态势、季节性与填报行为若同时关联滞后核与当期损失会削弱该对照）：b的估计为2.5305（a=0.0841），与FGLS基准（2.2434）点估计方向一致；因排除限制未获验证，该对照不能据此识别或界定测量误差偏倚——只能说点估计仍为正、与基准方向一致。过度离散结构Var(L)/E[L]²从[5,20)箱的5.32单调降至[600,5000)箱的0.99，与理论形状一致。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[6.7757,12.4767]，b/a=42.7）；逐州扩张窗得b=13.2666（CI[8.9139,18.1370]，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0D4" w14:textId="001000D5">
      <w:pPr>
        <w:pStyle w:val="Heading2"/>
        <w:spacing w:before="240" w:after="120"/>
      </w:pPr>
      <w:r>
        <w:rPr>
          <w:b/>
          <w:sz w:val="28"/>
        </w:rPr>
        <w:t xml:space="preserve">5.3检验二：达峰期——失效的是平稳基准而非病例规模</w:t>
      </w:r>
    </w:p>
    <w:p w14:paraId="001000D6" w14:textId="001000D7">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0D8" w14:textId="001000D9">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0DA" w14:textId="001000DB">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0DC" w14:textId="001000DD">
      <w:pPr>
        <w:pStyle w:val="Heading2"/>
        <w:spacing w:before="240" w:after="120"/>
      </w:pPr>
      <w:r>
        <w:rPr>
          <w:b/>
          <w:sz w:val="28"/>
        </w:rPr>
        <w:t xml:space="preserve">5.4检验三：报告制度切换对观测噪声的冲击</w:t>
      </w:r>
    </w:p>
    <w:p w14:paraId="001000DE" w14:textId="001000DF">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0E0" w14:textId="001000E1">
      <w:pPr>
        <w:pStyle w:val="Heading2"/>
        <w:spacing w:before="240" w:after="120"/>
      </w:pPr>
      <w:r>
        <w:rPr>
          <w:b/>
          <w:sz w:val="28"/>
        </w:rPr>
        <w:t xml:space="preserve">5.5检验四：空间跨区域汇聚的方差收益与边界</w:t>
      </w:r>
    </w:p>
    <w:p w14:paraId="001000E2" w14:textId="001000E3">
      <w:pPr>
        <w:ind w:firstLine="420"/>
      </w:pPr>
      <w:r>
        <w:rPr>
          <w:sz w:val="21"/>
        </w:rPr>
        <w:t xml:space="preserve">将51个州级单位按周加总构建全美序列：流行初期波段平均周捕获规模约6662例，单步预测相对均方误差降至0.0348（中位数0.0115，N=28），低于单州平台（约0.10，约降至三分之一）。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0E4" w14:textId="001000E5">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5f30b64ac47744de" cstate="print"/>
                    <a:stretch>
                      <a:fillRect/>
                    </a:stretch>
                  </pic:blipFill>
                  <pic:spPr>
                    <a:xfrm>
                      <a:off x="0" y="0"/>
                      <a:ext cx="5394960" cy="3942416"/>
                    </a:xfrm>
                    <a:prstGeom prst="rect">
                      <a:avLst/>
                    </a:prstGeom>
                  </pic:spPr>
                </pic:pic>
              </a:graphicData>
            </a:graphic>
          </wp:inline>
        </w:drawing>
      </w:r>
    </w:p>
    <w:p w14:paraId="001000E6" w14:textId="001000E7">
      <w:pPr>
        <w:spacing w:before="60" w:after="200"/>
        <w:jc w:val="center"/>
      </w:pPr>
      <w:r>
        <w:rPr>
          <w:b/>
          <w:sz w:val="18"/>
        </w:rPr>
        <w:t xml:space="preserve">图3 全美CDC NHSN流感住院真实监测数据实证检验</w:t>
      </w:r>
    </w:p>
    <w:p w14:paraId="001000E8" w14:textId="001000E9">
      <w:pPr>
        <w:pStyle w:val="Heading1"/>
        <w:spacing w:before="260" w:after="260"/>
      </w:pPr>
      <w:r>
        <w:rPr>
          <w:b/>
          <w:sz w:val="32"/>
        </w:rPr>
        <w:t xml:space="preserve">6结论</w:t>
      </w:r>
    </w:p>
    <w:p w14:paraId="001000EA" w14:textId="001000EB">
      <w:pPr>
        <w:ind w:firstLine="420"/>
      </w:pPr>
      <w:r>
        <w:rPr>
          <w:sz w:val="21"/>
        </w:rPr>
        <w:t xml:space="preserve">本文建立了一个分层推断框架，厘清了疫情监测中病例规模相关方差与环境方差的相互作用。理论上，本文区分当期参数与跨期基础水平两类估计目标，证明了当期估计量的极大似然与Fisher信息性质，导出了基础水平单期估计方差内部环境项与抽样项相等的平滑交叉点，精确拆解了监测杠杆的非对称性与单期—多期设计权衡，并建立了离散增长判定检验与单步预测方差分解。</w:t>
      </w:r>
    </w:p>
    <w:p w14:paraId="001000EC" w14:textId="001000ED">
      <w:pPr>
        <w:ind w:firstLine="420"/>
      </w:pPr>
      <w:r>
        <w:rPr>
          <w:sz w:val="21"/>
        </w:rPr>
        <w:t xml:space="preserve">全美CDC NHSN周度流感住院数据的描述性经验分析展现了与理论相容的特征：（1）流行初期波段的仿射模型估计出显著为正的规模相关方差项（b=2.2434，95%CI[1.5019,3.0161]）与环境底板（a=0.0991），经验交叉点22.6例/周；误差预算分解显示初期平均误差中与规模无关拟合项占54.6%、规模相关项占45.1%，样本中已实现的大规模观测误差约为全体平均的六成——规模收益真实、过半份额与规模无关；（2）达峰期套用跨期平稳基准会产生占主导的常数偏差（约89%），说明失效的是平稳性假定而非数据量；控制基准偏移后规模相关方差项依然显著为正，达峰期的正确应对是引入非平稳状态模型，而非停止扩大病例捕获；滚动窗口证据进一步表明经验交叉点并非常数，流感季窗口中位数20.4系统性低于非流感季46.9；（3）自愿过渡期覆盖率骤降伴随观测增长率标准差扩张192%与偏度扩张355%，但主体离散度指标未变，且存在季节性混杂，仅作描述性证据；（4）空间汇聚在平均局部环境扰动的同时须权衡属地预警的空间异质性限制。</w:t>
      </w:r>
    </w:p>
    <w:p w14:paraId="001000EE" w14:textId="001000EF">
      <w:pPr>
        <w:ind w:firstLine="420"/>
      </w:pPr>
      <w:r>
        <w:rPr>
          <w:sz w:val="21"/>
        </w:rPr>
        <w:t xml:space="preserve">本文的实证口径为机制导向的经验检验：D_t的测量误差通过十分位拟合予以控制，制度分期的季节性混杂通过流感季子样本予以校准；误差预算分解进一步表明，与规模无关项的份额随基准口径在39%–55%间移动（回顾口径54.6%），该项同时含环境方差与代理不确定性、不单独识别为环境项——环境协变量的价值属待检验假设。未来工作可进一步结合显式环境协变量、微观计量参数校准、误报—漏报代价不对称下的最优监测配置，以及多毒株共循环场景下动态状态滤波的实时监测理论。</w:t>
      </w:r>
    </w:p>
    <w:p w14:paraId="001000F0" w14:textId="001000F1">
      <w:pPr>
        <w:pStyle w:val="Heading1"/>
        <w:spacing w:before="260" w:after="260"/>
      </w:pPr>
      <w:r>
        <w:rPr>
          <w:b/>
          <w:sz w:val="32"/>
        </w:rPr>
        <w:t xml:space="preserve">参考文献</w:t>
      </w:r>
    </w:p>
    <w:p w14:paraId="001000F2" w14:textId="001000F3">
      <w:pPr>
        <w:spacing w:after="60"/>
      </w:pPr>
      <w:r>
        <w:rPr>
          <w:sz w:val="18"/>
        </w:rPr>
        <w:t xml:space="preserve">[1] Lloyd-Smith J O, Schreiber S J, Kopp P E, et al. Superspreading and the effect of individual variation on disease emergence. Nature, 2005, 438(7066): 355-359.</w:t>
      </w:r>
    </w:p>
    <w:p w14:paraId="001000F4" w14:textId="001000F5">
      <w:pPr>
        <w:spacing w:after="60"/>
      </w:pPr>
      <w:r>
        <w:rPr>
          <w:sz w:val="18"/>
        </w:rPr>
        <w:t xml:space="preserve">[2] Cori A, Ferguson N M, Fraser C, et al. A new framework and software to estimate time-varying reproduction numbers during epidemics. American Journal of Epidemiology, 2013, 178(9): 1505-1512.</w:t>
      </w:r>
    </w:p>
    <w:p w14:paraId="001000F6" w14:textId="001000F7">
      <w:pPr>
        <w:spacing w:after="60"/>
      </w:pPr>
      <w:r>
        <w:rPr>
          <w:sz w:val="18"/>
        </w:rPr>
        <w:t xml:space="preserve">[3] Parag K V, Donnelly C A. Fundamental limits on inferring epidemic resurgence in real time using effective reproduction numbers. PLOS Computational Biology, 2022, 18(4): e1010004.</w:t>
      </w:r>
    </w:p>
    <w:p w14:paraId="001000F8" w14:textId="001000F9">
      <w:pPr>
        <w:spacing w:after="60"/>
      </w:pPr>
      <w:r>
        <w:rPr>
          <w:sz w:val="18"/>
        </w:rPr>
        <w:t xml:space="preserve">[4] Parag K V, Donnelly C A, Zarebski A E. Quantifying the information in noisy epidemic curves. Nature Computational Science, 2022, 2(9): 584-594.</w:t>
      </w:r>
    </w:p>
    <w:p w14:paraId="001000FA" w14:textId="001000FB">
      <w:pPr>
        <w:spacing w:after="60"/>
      </w:pPr>
      <w:r>
        <w:rPr>
          <w:sz w:val="18"/>
        </w:rPr>
        <w:t xml:space="preserve">[5] Parag K V, Lambert B, Donnelly C A, Beregi S. Asymmetric limits on timely interventions from noisy epidemic data. Communications Physics, 2025, 8: 450.</w:t>
      </w:r>
    </w:p>
    <w:p w14:paraId="001000FC" w14:textId="001000FD">
      <w:pPr>
        <w:spacing w:after="60"/>
      </w:pPr>
      <w:r>
        <w:rPr>
          <w:sz w:val="18"/>
        </w:rPr>
        <w:t xml:space="preserve">[6] Bosse N I, Abbott S, Cori A, et al. Scoring epidemiological forecasts on transformed scales. PLOS Computational Biology, 2023, 19(8): e1011393.</w:t>
      </w:r>
    </w:p>
    <w:p w14:paraId="001000FE" w14:textId="001000FF">
      <w:pPr>
        <w:spacing w:after="60"/>
      </w:pPr>
      <w:r>
        <w:rPr>
          <w:sz w:val="18"/>
        </w:rPr>
        <w:t xml:space="preserve">[7] Bracher J, Held L. A marginal moment matching approach for fitting endemic-epidemic models to underreported disease surveillance counts. Biometrics, 2021, 77(4): 1348-1359.</w:t>
      </w:r>
    </w:p>
    <w:p w14:paraId="00100100" w14:textId="00100101">
      <w:pPr>
        <w:spacing w:after="60"/>
      </w:pPr>
      <w:r>
        <w:rPr>
          <w:sz w:val="18"/>
        </w:rPr>
        <w:t xml:space="preserve">[8] Bhatt S, Ferguson N, Flaxman S, et al. Semi-mechanistic Bayesian modeling of COVID-19 with renewal processes. Journal of the Royal Statistical Society Series A, 2023, 186(4): 601-624.</w:t>
      </w:r>
    </w:p>
    <w:p w14:paraId="00100102" w14:textId="00100103">
      <w:pPr>
        <w:spacing w:after="60"/>
      </w:pPr>
      <w:r>
        <w:rPr>
          <w:sz w:val="18"/>
        </w:rPr>
        <w:t xml:space="preserve">[9] Rasmussen D A, Ratmann O, Koelle K. Inference for nonlinear epidemiological models using genealogies and time series. PLOS Computational Biology, 2011, 7(8): e1002136.</w:t>
      </w:r>
    </w:p>
    <w:p w14:paraId="00100104" w14:textId="00100105">
      <w:pPr>
        <w:spacing w:after="60"/>
      </w:pPr>
      <w:r>
        <w:rPr>
          <w:sz w:val="18"/>
        </w:rPr>
        <w:t xml:space="preserve">[10] Steyn N, Parag K V, Thompson R N. A primer on inference and prediction with epidemic renewal models and sequential Monte Carlo. Statistics in Medicine, 2025, 44(3): e70204.</w:t>
      </w:r>
    </w:p>
    <w:p w14:paraId="00100106" w14:textId="00100107">
      <w:pPr>
        <w:spacing w:after="60"/>
      </w:pPr>
      <w:r>
        <w:rPr>
          <w:sz w:val="18"/>
        </w:rPr>
        <w:t xml:space="preserve">[11] Aber S, Di Q, Dalziel B D. Time-series modeling of epidemics in complex populations: Detecting changes in incidence volatility over time. PLOS Computational Biology, 2025, 21(2): e1012882.</w:t>
      </w:r>
    </w:p>
    <w:sectPr>
      <w:footerReference w:type="default" r:id="R0e846538372441ed"/>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08" w14:textId="0010010A">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eac993c856444546" /><Relationship Type="http://schemas.openxmlformats.org/officeDocument/2006/relationships/styles" Target="/word/styles.xml" Id="Rc4622ba3be924dc5" /><Relationship Type="http://schemas.openxmlformats.org/officeDocument/2006/relationships/theme" Target="/word/theme/theme1.xml" Id="R4167757410d54352" /><Relationship Type="http://schemas.openxmlformats.org/officeDocument/2006/relationships/numbering" Target="/word/numbering.xml" Id="Rdf554be3d2734c5a" /><Relationship Type="http://schemas.openxmlformats.org/officeDocument/2006/relationships/image" Target="/media/image.png" Id="R71665655f3c44929" /><Relationship Type="http://schemas.openxmlformats.org/officeDocument/2006/relationships/image" Target="/media/image2.png" Id="R109ec3dfeafa4ac2" /><Relationship Type="http://schemas.openxmlformats.org/officeDocument/2006/relationships/image" Target="/media/image3.png" Id="R5f30b64ac47744de" /><Relationship Type="http://schemas.openxmlformats.org/officeDocument/2006/relationships/footer" Target="/word/footer1.xml" Id="R0e846538372441ed"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2026-09-24T09:57:44Z</dcterms:created>
  <cp:lastModifiedBy>OfficeCLI</cp:lastModifiedBy>
  <dcterms:modified xsi:type="dcterms:W3CDTF">2026-09-24T09:57:44Z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2026-09-24T09:58:48Z</vt:lpwstr>
  </op:property>
</op:Properties>
</file>