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9cd9bd8a6504c9f" /><Relationship Type="http://schemas.openxmlformats.org/package/2006/relationships/metadata/core-properties" Target="/docProps/core.xml" Id="R00eee2bf0add4027" /><Relationship Type="http://schemas.openxmlformats.org/officeDocument/2006/relationships/extended-properties" Target="/docProps/app.xml" Id="Rb61477c86ae042d9" /><Relationship Type="http://schemas.openxmlformats.org/officeDocument/2006/relationships/custom-properties" Target="/docProps/custom.xml" Id="Rcff460f788034214"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22.6 例/周；约四至五成半（39%—55%）的误差份额落在与规模无关的拟合下限上；在达峰期，常数均值偏移占总体误差的 88.9%，剥离偏差后规模效应依然显著。进一步扩展至 CDC FluSight 真实前瞻集成预测与欧洲 11 国 COVID-19 场景，两组数据中规模项均为正，且多模型集成成功将达峰期均值偏差占比压缩至 15.5%。上述量化发现为评估扩大样本捕获、时间滤波与多模型集成的相对收益提供了决策基准。</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命题4（预算约束下的监测设计权衡与可行性集合）：设在T个观测期内设计方案为D_T = (T, n_T)，总监测输入规模预算受限为B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T(1-r)/(1+r)；（3）当要求各期风险集相同且为正整数并精确用尽预算时，可行设计集合为B/ρ的正整数因子集合（若B/ρ非整数则等期数严格用尽集合为空）。</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c_1'/ρ）。在总经费预算ℬ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(ℬ-c_0)/c_1），则由凸函数单调性取边界角点解m* = (ℬ-c_0)/c_1（对应T=1）。在数理同构上，方差v_R/T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2b74d0234bfe4162"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472812f64c7948ac"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59eb31557ab04c8e"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大幅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328ade937d1e4010"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3.47]）。鉴于排除限制难以在理论上绝对保证，该对照定位为说明变量误差不改变规模效应正向存在的稳健性对照。在代表性参数设定下导出理论交叉点约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主要表现为极少数异常值的右尾发散，更符合医院体系进出导致的局部成分扰动，而非均匀事件级漏报抽样；鉴于覆盖率不等同于事件级抽样概率且自愿期与夏季低发期重叠，定位为审慎的描述性证据。全美加总序列相对误差降至0.0348（约为单州平台的三分之一），其统计机理在于多区域空间汇聚削弱了非完全相关的局部环境扰动，构成了时间平均削减环境方差在空间维度上的平行对偶。</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抽样方差与环境方差各占总方差50%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平滑失配，明确将其定性为经验损失下限而非环境方差的孤立测度，未来可通过双轨前瞻社区追踪队列实现v_R的完全解耦识别；(3)因果推断的解释边界：自愿期覆盖率冲击与夏季低发期重叠，定位为审慎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42c27fb4681841c2"/>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72e63e4c017d4ee4" /><Relationship Type="http://schemas.openxmlformats.org/officeDocument/2006/relationships/styles" Target="/word/styles.xml" Id="Rd195905399264b37" /><Relationship Type="http://schemas.openxmlformats.org/officeDocument/2006/relationships/theme" Target="/word/theme/theme1.xml" Id="R4c5f65eca3e04454" /><Relationship Type="http://schemas.openxmlformats.org/officeDocument/2006/relationships/numbering" Target="/word/numbering.xml" Id="R751e2dc04dc846a9" /><Relationship Type="http://schemas.openxmlformats.org/officeDocument/2006/relationships/image" Target="/media/image.png" Id="R2b74d0234bfe4162" /><Relationship Type="http://schemas.openxmlformats.org/officeDocument/2006/relationships/image" Target="/media/image2.png" Id="R472812f64c7948ac" /><Relationship Type="http://schemas.openxmlformats.org/officeDocument/2006/relationships/image" Target="/media/image3.png" Id="R59eb31557ab04c8e" /><Relationship Type="http://schemas.openxmlformats.org/officeDocument/2006/relationships/image" Target="/media/image4.png" Id="R328ade937d1e4010" /><Relationship Type="http://schemas.openxmlformats.org/officeDocument/2006/relationships/footer" Target="/word/footer1.xml" Id="R42c27fb4681841c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2026-10-11T03:26:26Z</dcterms:created>
  <cp:lastModifiedBy>OfficeCLI</cp:lastModifiedBy>
  <dcterms:modified xsi:type="dcterms:W3CDTF">2026-10-11T03:26:26Z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2026-10-11T03:27:29Z</vt:lpwstr>
  </op:property>
</op:Properties>
</file>