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c8b91eb7968c48fc" /><Relationship Type="http://schemas.openxmlformats.org/package/2006/relationships/metadata/core-properties" Target="/docProps/core.xml" Id="Rea4bad563fef489d" /><Relationship Type="http://schemas.openxmlformats.org/officeDocument/2006/relationships/extended-properties" Target="/docProps/app.xml" Id="R58d2b9e700374a19" /><Relationship Type="http://schemas.openxmlformats.org/officeDocument/2006/relationships/custom-properties" Target="/docProps/custom.xml" Id="Rac32f97318dd433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before="240" w:after="320"/>
        <w:jc w:val="center"/>
      </w:pPr>
      <w:r>
        <w:rPr>
          <w:b/>
          <w:sz w:val="44"/>
        </w:rPr>
        <w:t xml:space="preserve">疫情监测中的病例规模收益边界：估计目标、环境随机性与外部验证</w:t>
      </w:r>
    </w:p>
    <w:p w14:paraId="00100002" w14:textId="00100003">
      <w:pPr>
        <w:spacing w:before="120" w:after="160"/>
        <w:ind w:firstLine="480"/>
      </w:pPr>
      <w:r>
        <w:rPr>
          <w:sz w:val="24"/>
        </w:rPr>
        <w:t xml:space="preserve">摘要：准确识别疫情增长并预测短期病例负担是现代传染病预警的核心任务。常规直觉认为样本量越大推断精度越高，但在个体超传播、不完全检测与共同环境扰动并存时，样本规模与推断信息量不能简单等同。既有理论主要关注当期瞬时再生数 R_t；本文表明，一旦推断目标改变，误差随样本规模的下降规律也随之改变，据此将病例规模何时不再主导推断误差转化为一个条件明确的监测设计问题。主要理论结果表明：（1）估计当期传播强度 R_t 时，测量方差随期望报告病例数 m 单调趋零；（2）以单期数据估计跨期平均传播水平 R̄ 时，单期推断留存不可消除的环境方差底板 v_R，由此导出抽样方差与环境方差相等的收益拐点 m_×；（3）提高检测报告率 ρ 仅能消除漏报抽稀方差，唯有扩大实际感染基数 n 才能使各项方差同时衰减；（4）时间序列中事后代理增长指标与事前单步预测严格成比例，且误差在极小规模端受更新过程尾部方差二次放大。实证方面，基于全美 CDC NHSN 流感住院真实监测数据（16,218 个州周观测）：流行初期相对均方误差随规模按 1/D_t 形式递减，经验拐点约为 23 例/周；约四至五成半的误差份额落在与规模无关的拟合底板上；在达峰期，常数均值偏移是误差平台的主要来源，剥离偏差后规模效应依然显著。本文进一步分析了 CDC FluSight 前瞻集成预测和欧洲 11 国 COVID-19 数据，两组数据中随病例规模按 1/D_t 衰减的误差项均为正，经验拐点随监测尺度和时间粒度变化。这些结果可用于比较扩大样本、延长观测期和采用多模型预测的相对收益。</w:t>
      </w:r>
    </w:p>
    <w:p w14:paraId="00100004" w14:textId="00100005">
      <w:pPr>
        <w:spacing w:after="320"/>
        <w:ind w:firstLine="480"/>
      </w:pPr>
      <w:r>
        <w:rPr>
          <w:b/>
          <w:sz w:val="24"/>
        </w:rPr>
        <w:t xml:space="preserve">关键词：疫情增长判定；分支过程；超传播；漏报；环境随机性；监测设计；短期预测；流感住院实证</w:t>
      </w:r>
    </w:p>
    <w:p w14:paraId="00100006" w14:textId="00100007">
      <w:pPr>
        <w:pStyle w:val="Heading1"/>
        <w:spacing w:before="280" w:after="120"/>
      </w:pPr>
      <w:r>
        <w:rPr>
          <w:b/>
          <w:sz w:val="28"/>
        </w:rPr>
        <w:t xml:space="preserve">0引言</w:t>
      </w:r>
    </w:p>
    <w:p w14:paraId="00100008" w14:textId="00100009">
      <w:pPr>
        <w:spacing w:after="0"/>
        <w:ind w:firstLine="480"/>
      </w:pPr>
      <w:r>
        <w:rPr>
          <w:sz w:val="24"/>
        </w:rPr>
        <w:t xml:space="preserve">准确识别疫情由平稳或下降转为上升增长，并对随后数周的病例负担作出可靠预测，是现代传染病预警与公共卫生应急响应的核心支柱。在常规统计直觉中，大样本量通常意味着高推断精度，即增加捕获病例数能够持续压制随机计数波动的相对影响。然而，在传染病监测与动力学建模的真实场景下，这一直觉往往遭遇严峻挑战：病原体传播普遍具有高度个体异质性（超传播），导致继发感染数严重过离散[1,2]；监测系统普遍存在不同程度的不完全检测与报告延迟[3,4]；此外，处于同一地理辖区或时间窗口内的宿主群体共同受到气象条件、人群接触模式以及周期性社会流动等环境随机扰动[5,6]。超传播、漏报和共同环境波动同时存在时，病例数不再等同于有效信息量。</w:t>
      </w:r>
    </w:p>
    <w:p w14:paraId="0010000A" w14:textId="0010000B">
      <w:pPr>
        <w:spacing w:after="0"/>
        <w:ind w:firstLine="480"/>
      </w:pPr>
      <w:r>
        <w:rPr>
          <w:sz w:val="24"/>
        </w:rPr>
        <w:t xml:space="preserve">面对这一理论与现实矛盾，既有文献多将监测误差笼统归因于漏报率或数据质量问题。然而，对“病例规模增加到何时不再是推断的主要瓶颈”这一核心问题的回答，首先取决于究竟要估计什么。如果推断目标是当期特定环境条件下的瞬时传播参数，在模型正确设定的条件下，扩充样本规模可以持续提升测量精度；但若推断目标是跨周平稳的潜在基础增长趋势，单期横截面内的样本聚集即便无限庞大，在缺乏外部协变量的前提下，亦无法凭该期数据消除共同的环境随机震荡。类似地，通过扩大检测覆盖提升报告率，与通过扩大哨点范围扩展风险集基数，其消解噪声的数理路径存在本质不同。若混淆推断目标与监测杠杆，往往会导致公共卫生资源在“盲目追求单期病例堆砌”与“忽视系统性偏差”之间失衡。</w:t>
      </w:r>
    </w:p>
    <w:p w14:paraId="0010000C" w14:textId="0010000D">
      <w:pPr>
        <w:spacing w:after="0"/>
        <w:ind w:firstLine="480"/>
      </w:pPr>
      <w:r>
        <w:rPr>
          <w:sz w:val="24"/>
        </w:rPr>
        <w:t xml:space="preserve">现有研究已经说明病例规模会影响再生数估计和预测误差，但尚未区分当期传播参数与跨期基础水平这两个估计目标。由此产生三个关键问题：第一，病例规模对两类推断目标的方差影响是否相同？第二，提高报告率和扩大监测基数能否消除相同的误差来源？第三，这些理论差异能否在真实监测数据和外部预测数据中观察到？</w:t>
      </w:r>
    </w:p>
    <w:p w14:paraId="0010000E" w14:textId="0010000F">
      <w:pPr>
        <w:spacing w:after="0"/>
        <w:ind w:firstLine="480"/>
      </w:pPr>
      <w:r>
        <w:rPr>
          <w:sz w:val="24"/>
        </w:rPr>
        <w:t xml:space="preserve">针对上述问题，本文从负二项分支过程第一性原理出发，构建了条件明确的分层随机模型，系统探讨不同估计目标下病例规模的推断收益边界、监测杠杆的非对称性以及成本约束下的运筹设计准则，并基于全美长达六年的流感住院数据展开实证与反证检验。</w:t>
      </w:r>
    </w:p>
    <w:p w14:paraId="00100010" w14:textId="00100011">
      <w:pPr>
        <w:spacing w:after="0"/>
        <w:ind w:firstLine="480"/>
      </w:pPr>
      <w:r>
        <w:rPr>
          <w:sz w:val="24"/>
        </w:rPr>
        <w:t xml:space="preserve">需要明确，本文的核心理论贡献在于揭示估计目标与环境随机性对监测规模收益的决定性制约，把估计目标、方差结构和监测设计放在同一分析框架中，而非提出新的动力学分布模型。</w:t>
      </w:r>
    </w:p>
    <w:p w14:paraId="00100012" w14:textId="00100013">
      <w:pPr>
        <w:spacing w:after="0"/>
        <w:ind w:firstLine="480"/>
      </w:pPr>
      <w:r>
        <w:rPr>
          <w:sz w:val="24"/>
        </w:rPr>
        <w:t xml:space="preserve">本文的结构安排如下：第1节回顾相关文献脉络与理论对话；第2节建立传播与报告动力学模型并界定两类估计目标；第3节推导核心理论结果、交叉点、监测杠杆与最优规模闭式解；第4节报告蒙特卡洛模拟验证与功效分析；第5节利用全美流感住院真实监测数据展开系统实证检验；第6节总结全文并探讨监测设计启示。</w:t>
      </w:r>
    </w:p>
    <w:p w14:paraId="00100014" w14:textId="00100015">
      <w:pPr>
        <w:pStyle w:val="Heading1"/>
        <w:spacing w:before="280" w:after="120"/>
      </w:pPr>
      <w:r>
        <w:rPr>
          <w:b/>
          <w:sz w:val="28"/>
        </w:rPr>
        <w:t xml:space="preserve">1研究回顾</w:t>
      </w:r>
    </w:p>
    <w:p w14:paraId="00100016" w14:textId="00100017">
      <w:pPr>
        <w:spacing w:after="0"/>
        <w:ind w:firstLine="480"/>
      </w:pPr>
      <w:r>
        <w:rPr>
          <w:sz w:val="24"/>
        </w:rPr>
        <w:t xml:space="preserve">与本文密切相关的文献可归纳为六大理论脉络：</w:t>
      </w:r>
    </w:p>
    <w:p w14:paraId="00100018" w14:textId="00100019">
      <w:pPr>
        <w:spacing w:after="0"/>
        <w:ind w:firstLine="480"/>
      </w:pPr>
      <w:r>
        <w:rPr>
          <w:sz w:val="24"/>
        </w:rPr>
        <w:t xml:space="preserve">第一，传播异质性与更新过程动力学。开创性研究证实个体继发感染数高度偏离泊松假设，负二项分布中的超传播参数k主导了疾病暴发的灭绝与扩散动态[1,7]。随之发展的代际更新模型奠定了现代实时再生数推断的标准范式[8,9]，尤以Cori等[10]提出的EpiEstim框架成为国际基准。后续学者进一步探讨了滑动窗口跨度、世代间隔不确定性及平滑先验对再生数估计的修正法则[11,12,13]。</w:t>
      </w:r>
    </w:p>
    <w:p w14:paraId="0010001A" w14:textId="0010001B">
      <w:pPr>
        <w:spacing w:after="0"/>
        <w:ind w:firstLine="480"/>
      </w:pPr>
      <w:r>
        <w:rPr>
          <w:sz w:val="24"/>
        </w:rPr>
        <w:t xml:space="preserve">第二，不完全观测与状态空间滤波。现实监测系统仅能获取经过延迟与漏报抽稀的确诊或住院病例[3,14]。为重构潜在未观测感染压力，学者们构建了包含粒子滤波、半机制更新过程与分层时空平滑在内的状态空间推断架构[4,15]。Bracher与Held[16]则提出了基于边缘矩匹配的方法，在避免潜变量复杂似然计算的同时，系统揭示了报告率与传播强度的联合可识别性边界。</w:t>
      </w:r>
    </w:p>
    <w:p w14:paraId="0010001C" w14:textId="0010001D">
      <w:pPr>
        <w:spacing w:after="0"/>
        <w:ind w:firstLine="480"/>
      </w:pPr>
      <w:r>
        <w:rPr>
          <w:sz w:val="24"/>
        </w:rPr>
        <w:t xml:space="preserve">第三，Fisher信息量与推断物理极限。Parag等[17,18,19]利用信息论严格推导了带噪疫情曲线的Fisher信息量与反弹识别的物理下界。然而必须指出，既有信息下界均建立在当期再生数R_t这一类估计目标之上，其信息量随期望病例数近似线性增长。本文与之形成正面对话：证明更换估计目标为跨期基础水平后，信息标度律随之改变，饱和于环境方差底板。</w:t>
      </w:r>
    </w:p>
    <w:p w14:paraId="0010001E" w14:textId="0010001F">
      <w:pPr>
        <w:spacing w:after="0"/>
        <w:ind w:firstLine="480"/>
      </w:pPr>
      <w:r>
        <w:rPr>
          <w:sz w:val="24"/>
        </w:rPr>
        <w:t xml:space="preserve">第四，人口统计随机性与环境随机性二分。生态动力学经典理论阐明了微观繁殖抽样随机性与宏观共同环境扰动的本质对立[20,21,22]。微观随机性随种群规模扩大而迅速衰减，但宏观环境震荡在单期横截面内具有共同乘性特征，无法凭单期病例聚合消除[5,6,23]。在计量统计学中，这一问题与经典测量误差模型及方差成分信度理论在代数形式上高度一致[24,25,26,27]，其交叉点在方差分解中恰对应单期估计方差内部信度比（即信号方差占总方差比例）等于0.5的对称位置[25]。</w:t>
      </w:r>
    </w:p>
    <w:p w14:paraId="00100020" w14:textId="00100021">
      <w:pPr>
        <w:spacing w:after="0"/>
        <w:ind w:firstLine="480"/>
      </w:pPr>
      <w:r>
        <w:rPr>
          <w:sz w:val="24"/>
        </w:rPr>
        <w:t xml:space="preserve">第五，大规模真实监测与前瞻预测评估实践。从新型数据流拓展[28]到美国CDC FluSight挑战赛等多模型集成实践[29,30,31]，前瞻预测精度的提升迅速呈现收益递减平台，多模型集合在流行拐点与传播态势突变处往往面临显著的预测偏差与区间覆盖不稳定[32,33]；相对均方误差等评分规则展现出有效平衡不同发病规模量级的稳健优势[34]。而在历史住院基准方面，相关基础监测分析为折算每例有症状感染的住院比例提供了核心流行病学依据[35]。</w:t>
      </w:r>
    </w:p>
    <w:p w14:paraId="00100022" w14:textId="00100023">
      <w:pPr>
        <w:spacing w:after="0"/>
        <w:ind w:firstLine="480"/>
      </w:pPr>
      <w:r>
        <w:rPr>
          <w:sz w:val="24"/>
        </w:rPr>
        <w:t xml:space="preserve">综上所述，既有文献分别刻画了上述单点机制，但尚未回答病例规模何时不再主导推断误差、规模收益如何随估计目标与监测杠杆发生质变这一核心问题。本文的差异化定位即在于填补这一理论与经验空白。</w:t>
      </w:r>
    </w:p>
    <w:p w14:paraId="00100024" w14:textId="00100025">
      <w:pPr>
        <w:pStyle w:val="Heading1"/>
        <w:spacing w:before="280" w:after="120"/>
      </w:pPr>
      <w:r>
        <w:rPr>
          <w:b/>
          <w:sz w:val="28"/>
        </w:rPr>
        <w:t xml:space="preserve">2模型与方法</w:t>
      </w:r>
    </w:p>
    <w:p w14:paraId="00100026" w14:textId="00100027">
      <w:pPr>
        <w:pStyle w:val="Heading2"/>
        <w:spacing w:before="200" w:after="80"/>
      </w:pPr>
      <w:r>
        <w:rPr>
          <w:b/>
          <w:sz w:val="24"/>
        </w:rPr>
        <w:t xml:space="preserve">2.1传播动力学生灭模型与个体超传播</w:t>
      </w:r>
    </w:p>
    <w:p w14:paraId="00100028" w14:textId="00100029">
      <w:pPr>
        <w:spacing w:after="0"/>
        <w:ind w:firstLine="480"/>
      </w:pPr>
      <w:r>
        <w:rPr>
          <w:sz w:val="24"/>
        </w:rPr>
        <w:t xml:space="preserve">设时间以代或离散周t推进。上一代真实感染者集合规模为n（风险集）。第i名感染者在当期产生的继发感染数为X_{i,t}。在给定当期环境条件下的传播强度R_t后，假设个体继发感染数服从过离散负二项分支分布：</w:t>
      </w:r>
    </w:p>
    <w:p w14:paraId="0010002A" w14:textId="0010002B">
      <m:oMathPara>
        <m:oMath>
          <m:r>
            <m:t xml:space="preserve">E</m:t>
          </m:r>
          <m:r>
            <m:t xml:space="preserve">[</m:t>
          </m:r>
          <m:sSub>
            <m:e>
              <m:r>
                <m:t xml:space="preserve">X</m:t>
              </m:r>
            </m:e>
            <m:sub>
              <m:r>
                <m:t xml:space="preserve">i,t</m:t>
              </m:r>
            </m:sub>
          </m:sSub>
          <m:r>
            <m:t xml:space="preserve">|</m:t>
          </m:r>
          <m:r>
            <m:t xml:space="preserve"> </m:t>
          </m:r>
          <m:sSub>
            <m:e>
              <m:r>
                <m:t xml:space="preserve"> R</m:t>
              </m:r>
            </m:e>
            <m:sub>
              <m:r>
                <m:t xml:space="preserve">t</m:t>
              </m:r>
            </m:sub>
          </m:sSub>
          <m:r>
            <m:t xml:space="preserve">]</m:t>
          </m:r>
          <m:sSub>
            <m:e>
              <m:r>
                <m:t xml:space="preserve">=R</m:t>
              </m:r>
            </m:e>
            <m:sub>
              <m:r>
                <m:t xml:space="preserve">t</m:t>
              </m:r>
            </m:sub>
          </m:sSub>
          <m:r>
            <m:t xml:space="preserve">,</m:t>
          </m:r>
          <m:r>
            <m:t xml:space="preserve"> </m:t>
          </m:r>
          <m:sSub>
            <m:e>
              <m:r>
                <m:t xml:space="preserve"> Var(X</m:t>
              </m:r>
            </m:e>
            <m:sub>
              <m:r>
                <m:t xml:space="preserve">i,t</m:t>
              </m:r>
            </m:sub>
          </m:sSub>
          <m:r>
            <m:t xml:space="preserve">|</m:t>
          </m:r>
          <m:r>
            <m:t xml:space="preserve"> </m:t>
          </m:r>
          <m:sSub>
            <m:e>
              <m:r>
                <m:t xml:space="preserve"> R</m:t>
              </m:r>
            </m:e>
            <m:sub>
              <m:r>
                <m:t xml:space="preserve">t</m:t>
              </m:r>
            </m:sub>
          </m:sSub>
          <m:sSub>
            <m:e>
              <m:r>
                <m:t xml:space="preserve">)=R</m:t>
              </m:r>
            </m:e>
            <m:sub>
              <m:r>
                <m:t xml:space="preserve">t</m:t>
              </m:r>
            </m:sub>
          </m:sSub>
          <m:r>
            <m:t xml:space="preserve">+</m:t>
          </m:r>
          <m:f>
            <m:num>
              <m:sSubSup>
                <m:e>
                  <m:r>
                    <m:t xml:space="preserve">R</m:t>
                  </m:r>
                </m:e>
                <m:sub>
                  <m:r>
                    <m:t xml:space="preserve">t</m:t>
                  </m:r>
                </m:sub>
                <m:sup>
                  <m:r>
                    <m:t xml:space="preserve">2</m:t>
                  </m:r>
                </m:sup>
              </m:sSubSup>
            </m:num>
            <m:den>
              <m:r>
                <m:t xml:space="preserve">k</m:t>
              </m:r>
            </m:den>
          </m:f>
          <m:r>
            <m:t xml:space="preserve">  </m:t>
          </m:r>
          <m:r>
            <m:t xml:space="preserve"> (1)</m:t>
          </m:r>
        </m:oMath>
      </m:oMathPara>
    </w:p>
    <w:p w14:paraId="0010002C" w14:textId="0010002D">
      <w:pPr>
        <w:spacing w:after="0"/>
        <w:ind w:firstLine="480"/>
      </w:pPr>
      <w:r>
        <w:rPr>
          <w:sz w:val="24"/>
        </w:rPr>
        <w:t xml:space="preserve">其中k&gt;0为个体传播离散度参数（k越小代表超传播异质性越强，k→∞时退化为标准泊松分布）。在给定(n, R_t)条件下，个体继发感染数相互条件独立。当期真实新发感染总数为I_t = ∑X_{i,t}。</w:t>
      </w:r>
    </w:p>
    <w:p w14:paraId="0010002E" w14:textId="0010002F">
      <w:pPr>
        <w:pStyle w:val="Heading2"/>
        <w:spacing w:before="200" w:after="80"/>
      </w:pPr>
      <w:r>
        <w:rPr>
          <w:b/>
          <w:sz w:val="24"/>
        </w:rPr>
        <w:t xml:space="preserve">2.2监测漏报与二项抽稀观测模型</w:t>
      </w:r>
    </w:p>
    <w:p w14:paraId="00100030" w14:textId="00100031">
      <w:pPr>
        <w:spacing w:after="0"/>
        <w:ind w:firstLine="480"/>
      </w:pPr>
      <w:r>
        <w:rPr>
          <w:sz w:val="24"/>
        </w:rPr>
        <w:t xml:space="preserve">现实监测网络无法完全捕获所有真实感染。假设每个真实感染者以概率ρ∈(0,1]独立被报告，当期报告病例数为C_t：</w:t>
      </w:r>
    </w:p>
    <w:p w14:paraId="00100032" w14:textId="00100033">
      <m:oMathPara>
        <m:oMath>
          <m:sSub>
            <m:e>
              <m:r>
                <m:t xml:space="preserve">C</m:t>
              </m:r>
            </m:e>
            <m:sub>
              <m:r>
                <m:t xml:space="preserve">t</m:t>
              </m:r>
            </m:sub>
          </m:sSub>
          <m:r>
            <m:t xml:space="preserve">|</m:t>
          </m:r>
          <m:r>
            <m:t xml:space="preserve"> </m:t>
          </m:r>
          <m:sSub>
            <m:e>
              <m:r>
                <m:t xml:space="preserve"> I</m:t>
              </m:r>
            </m:e>
            <m:sub>
              <m:r>
                <m:t xml:space="preserve">t</m:t>
              </m:r>
            </m:sub>
          </m:sSub>
          <m:r>
            <m:t xml:space="preserve"> </m:t>
          </m:r>
          <m:r>
            <m:t xml:space="preserve">∼</m:t>
          </m:r>
          <m:sSub>
            <m:e>
              <m:r>
                <m:t xml:space="preserve"> Binomial(I</m:t>
              </m:r>
            </m:e>
            <m:sub>
              <m:r>
                <m:t xml:space="preserve">t</m:t>
              </m:r>
            </m:sub>
          </m:sSub>
          <m:r>
            <m:t xml:space="preserve">, </m:t>
          </m:r>
          <m:r>
            <m:t xml:space="preserve">ρ</m:t>
          </m:r>
          <m:r>
            <m:t xml:space="preserve">)</m:t>
          </m:r>
          <m:r>
            <m:t xml:space="preserve">  </m:t>
          </m:r>
          <m:r>
            <m:t xml:space="preserve"> (2)</m:t>
          </m:r>
        </m:oMath>
      </m:oMathPara>
    </w:p>
    <w:p w14:paraId="00100034" w14:textId="00100035">
      <w:pPr>
        <w:spacing w:after="0"/>
        <w:ind w:firstLine="480"/>
      </w:pPr>
      <w:r>
        <w:rPr>
          <w:sz w:val="24"/>
        </w:rPr>
        <w:t xml:space="preserve">规范设定声明：在第3节推导中n暂时设定为已知真实风险集规模，其用途是推导物理参照系下的理论基准，并非宣称现实监测已知真实感染数；第3.7节进一步给出仅报告数据可见时的条件方差展开。</w:t>
      </w:r>
    </w:p>
    <w:p w14:paraId="00100036" w14:textId="00100037">
      <w:pPr>
        <w:pStyle w:val="Heading2"/>
        <w:spacing w:before="200" w:after="80"/>
      </w:pPr>
      <w:r>
        <w:rPr>
          <w:b/>
          <w:sz w:val="24"/>
        </w:rPr>
        <w:t xml:space="preserve">2.3估计目标的分层界定：当期参数与跨期基础水平</w:t>
      </w:r>
    </w:p>
    <w:p w14:paraId="00100038" w14:textId="00100039">
      <w:pPr>
        <w:spacing w:after="0"/>
        <w:ind w:firstLine="480"/>
      </w:pPr>
      <w:r>
        <w:rPr>
          <w:sz w:val="24"/>
        </w:rPr>
        <w:t xml:space="preserve">推断精度的性质根本上取决于估计目标：</w:t>
      </w:r>
    </w:p>
    <w:p w14:paraId="0010003A" w14:textId="0010003B">
      <w:pPr>
        <w:spacing w:after="0"/>
        <w:ind w:firstLine="480"/>
      </w:pPr>
      <w:r>
        <w:rPr>
          <w:sz w:val="24"/>
        </w:rPr>
        <w:t xml:space="preserve">目标A（当期传播参数）：估计当期特定环境条件下的瞬时传播强度R_t，反映特定周度气象与接触条件决定的个体期望继发感染水平。</w:t>
      </w:r>
    </w:p>
    <w:p w14:paraId="0010003C" w14:textId="0010003D">
      <w:pPr>
        <w:spacing w:after="0"/>
        <w:ind w:firstLine="480"/>
      </w:pPr>
      <w:r>
        <w:rPr>
          <w:sz w:val="24"/>
        </w:rPr>
        <w:t xml:space="preserve">目标B（跨期基础水平）：估计消除单周共同随机扰动后的潜在基础传播趋势R̄。在单期设计中，假定当期环境满足条件矩设定：E[R_t|n]=R̄, Var(R_t|n)=v_R&gt;0。</w:t>
      </w:r>
    </w:p>
    <w:p w14:paraId="0010003E" w14:textId="0010003F">
      <w:pPr>
        <w:pStyle w:val="Heading2"/>
        <w:spacing w:before="200" w:after="80"/>
      </w:pPr>
      <w:r>
        <w:rPr>
          <w:b/>
          <w:sz w:val="24"/>
        </w:rPr>
        <w:t xml:space="preserve">2.4信息集划分与预测设定</w:t>
      </w:r>
    </w:p>
    <w:p w14:paraId="00100040" w14:textId="00100041">
      <w:pPr>
        <w:spacing w:after="0"/>
        <w:ind w:firstLine="480"/>
      </w:pPr>
      <w:r>
        <w:rPr>
          <w:sz w:val="24"/>
        </w:rPr>
        <w:t xml:space="preserve">针对前瞻预测问题，严格区分全历史信息集F_t^I = σ(I_1,…,I_t, C_1,…,C_t)与现实中唯一可直接获取的仅报告序列信息集F_t^C = σ(C_1,…,C_t)。由于漏报抽稀的存在，下一周的潜在感染压力在F_t^C下内生具有不确定性。</w:t>
      </w:r>
    </w:p>
    <w:p w14:paraId="00100042" w14:textId="00100043">
      <w:pPr>
        <w:pStyle w:val="Heading1"/>
        <w:spacing w:before="280" w:after="120"/>
      </w:pPr>
      <w:r>
        <w:rPr>
          <w:b/>
          <w:sz w:val="28"/>
        </w:rPr>
        <w:t xml:space="preserve">3理论结果与运筹设计</w:t>
      </w:r>
    </w:p>
    <w:p w14:paraId="00100044" w14:textId="00100045">
      <w:pPr>
        <w:pStyle w:val="Heading2"/>
        <w:spacing w:before="200" w:after="80"/>
      </w:pPr>
      <w:r>
        <w:rPr>
          <w:b/>
          <w:sz w:val="24"/>
        </w:rPr>
        <w:t xml:space="preserve">3.1当期传播参数的条件似然、Fisher信息与方差下界</w:t>
      </w:r>
    </w:p>
    <w:p w14:paraId="00100046" w14:textId="00100047">
      <w:pPr>
        <w:spacing w:after="0"/>
        <w:ind w:firstLine="480"/>
      </w:pPr>
      <w:r>
        <w:rPr>
          <w:sz w:val="24"/>
        </w:rPr>
        <w:t xml:space="preserve">命题1（当期传播参数的条件似然、Fisher信息与方差）：在个体继发感染条件独立且服从负二项分支模型、二项报告率ρ固定的基准条件下，当n与ρ已知时：</w:t>
      </w:r>
    </w:p>
    <w:p w14:paraId="00100048" w14:textId="00100049">
      <w:pPr>
        <w:spacing w:after="0"/>
        <w:ind w:firstLine="480"/>
      </w:pPr>
      <w:r>
        <w:rPr>
          <w:sz w:val="24"/>
        </w:rPr>
        <w:t xml:space="preserve">（1）报告病例数C_t在给定(n, R_t)下的边缘分布严格服从负二项分布：C_t|(n,R_t) ~ NB(均值=ρnR_t, 形状参数=nk, p*=k/(k+ρR_t))；</w:t>
      </w:r>
    </w:p>
    <w:p w14:paraId="0010004A" w14:textId="0010004B">
      <w:pPr>
        <w:spacing w:after="0"/>
        <w:ind w:firstLine="480"/>
      </w:pPr>
      <w:r>
        <w:rPr>
          <w:sz w:val="24"/>
        </w:rPr>
        <w:t xml:space="preserve">（2）矩估计量 R̂_t = C_t/(ρn) 恰为该条件似然模型下的极大似然估计量（MLE）；当C_t=0时估计量位于参数空间边界；</w:t>
      </w:r>
    </w:p>
    <w:p w14:paraId="0010004C" w14:textId="0010004D">
      <w:pPr>
        <w:spacing w:after="0"/>
        <w:ind w:firstLine="480"/>
      </w:pPr>
      <w:r>
        <w:rPr>
          <w:sz w:val="24"/>
        </w:rPr>
        <w:t xml:space="preserve">（3）在内部参数点R_t&gt;0上，关于R_t的Fisher信息量严格等于：</w:t>
      </w:r>
    </w:p>
    <w:p w14:paraId="0010004E" w14:textId="0010004F">
      <m:oMathPara>
        <m:oMath>
          <m:r>
            <m:rPr>
              <m:scr m:val="script"/>
              <m:sty m:val="p"/>
            </m:rPr>
            <m:t xml:space="preserve">I</m:t>
          </m:r>
          <m:sSub>
            <m:e>
              <m:r>
                <m:t xml:space="preserve">(R</m:t>
              </m:r>
            </m:e>
            <m:sub>
              <m:r>
                <m:t xml:space="preserve">t</m:t>
              </m:r>
            </m:sub>
          </m:sSub>
          <m:r>
            <m:t xml:space="preserve">|</m:t>
          </m:r>
          <m:r>
            <m:t xml:space="preserve"> </m:t>
          </m:r>
          <m:r>
            <m:t xml:space="preserve"> n) = </m:t>
          </m:r>
          <m:f>
            <m:num>
              <m:r>
                <m:t xml:space="preserve">n</m:t>
              </m:r>
            </m:num>
            <m:den>
              <m:f>
                <m:num>
                  <m:sSub>
                    <m:e>
                      <m:r>
                        <m:t xml:space="preserve">R</m:t>
                      </m:r>
                    </m:e>
                    <m:sub>
                      <m:r>
                        <m:t xml:space="preserve">t</m:t>
                      </m:r>
                    </m:sub>
                  </m:sSub>
                </m:num>
                <m:den>
                  <m:r>
                    <m:t xml:space="preserve">ρ</m:t>
                  </m:r>
                </m:den>
              </m:f>
              <m:r>
                <m:t xml:space="preserve"> + </m:t>
              </m:r>
              <m:f>
                <m:num>
                  <m:sSubSup>
                    <m:e>
                      <m:r>
                        <m:t xml:space="preserve">R</m:t>
                      </m:r>
                    </m:e>
                    <m:sub>
                      <m:r>
                        <m:t xml:space="preserve">t</m:t>
                      </m:r>
                    </m:sub>
                    <m:sup>
                      <m:r>
                        <m:t xml:space="preserve">2</m:t>
                      </m:r>
                    </m:sup>
                  </m:sSubSup>
                </m:num>
                <m:den>
                  <m:r>
                    <m:t xml:space="preserve">k</m:t>
                  </m:r>
                </m:den>
              </m:f>
            </m:den>
          </m:f>
          <m:r>
            <m:t xml:space="preserve">  </m:t>
          </m:r>
          <m:r>
            <m:t xml:space="preserve"> (3)</m:t>
          </m:r>
        </m:oMath>
      </m:oMathPara>
    </w:p>
    <w:p w14:paraId="00100050" w14:textId="00100051">
      <w:pPr>
        <w:spacing w:after="0"/>
        <w:ind w:firstLine="480"/>
      </w:pPr>
      <w:r>
        <w:rPr>
          <w:sz w:val="24"/>
        </w:rPr>
        <w:t xml:space="preserve">（4）估计量R̂_t的条件方差严格达到Cramér–Rao下界：</w:t>
      </w:r>
    </w:p>
    <w:p w14:paraId="00100052" w14:textId="00100053">
      <m:oMathPara>
        <m:oMath>
          <m:r>
            <m:t xml:space="preserve">Var</m:t>
          </m:r>
          <m:d>
            <m:dPr/>
            <m:e>
              <m:f>
                <m:num>
                  <m:sSub>
                    <m:e>
                      <m:r>
                        <m:t xml:space="preserve">C</m:t>
                      </m:r>
                    </m:e>
                    <m:sub>
                      <m:r>
                        <m:t xml:space="preserve">t</m:t>
                      </m:r>
                    </m:sub>
                  </m:sSub>
                </m:num>
                <m:den>
                  <m:r>
                    <m:t xml:space="preserve">ρ</m:t>
                  </m:r>
                  <m:r>
                    <m:t xml:space="preserve"> n</m:t>
                  </m:r>
                </m:den>
              </m:f>
              <m:r>
                <m:t xml:space="preserve"> </m:t>
              </m:r>
              <m:r>
                <m:t xml:space="preserve">|</m:t>
              </m:r>
              <m:r>
                <m:t xml:space="preserve"> </m:t>
              </m:r>
              <m:sSub>
                <m:e>
                  <m:r>
                    <m:t xml:space="preserve"> n, R</m:t>
                  </m:r>
                </m:e>
                <m:sub>
                  <m:r>
                    <m:t xml:space="preserve">t</m:t>
                  </m:r>
                </m:sub>
              </m:sSub>
            </m:e>
          </m:d>
          <m:r>
            <m:t xml:space="preserve"> = </m:t>
          </m:r>
          <m:r>
            <m:rPr>
              <m:scr m:val="script"/>
              <m:sty m:val="p"/>
            </m:rPr>
            <m:t xml:space="preserve">I</m:t>
          </m:r>
          <m:sSub>
            <m:e>
              <m:r>
                <m:t xml:space="preserve">(R</m:t>
              </m:r>
            </m:e>
            <m:sub>
              <m:r>
                <m:t xml:space="preserve">t</m:t>
              </m:r>
            </m:sub>
          </m:sSub>
          <m:r>
            <m:t xml:space="preserve">|</m:t>
          </m:r>
          <m:r>
            <m:t xml:space="preserve"> </m:t>
          </m:r>
          <m:sSup>
            <m:e>
              <m:r>
                <m:t xml:space="preserve"> n)</m:t>
              </m:r>
            </m:e>
            <m:sup>
              <m:r>
                <m:t xml:space="preserve">-1</m:t>
              </m:r>
            </m:sup>
          </m:sSup>
          <m:r>
            <m:t xml:space="preserve"> = </m:t>
          </m:r>
          <m:f>
            <m:num>
              <m:sSub>
                <m:e>
                  <m:r>
                    <m:t xml:space="preserve">R</m:t>
                  </m:r>
                </m:e>
                <m:sub>
                  <m:r>
                    <m:t xml:space="preserve">t</m:t>
                  </m:r>
                </m:sub>
              </m:sSub>
            </m:num>
            <m:den>
              <m:r>
                <m:t xml:space="preserve">ρ</m:t>
              </m:r>
              <m:r>
                <m:t xml:space="preserve"> n</m:t>
              </m:r>
            </m:den>
          </m:f>
          <m:r>
            <m:t xml:space="preserve"> + </m:t>
          </m:r>
          <m:f>
            <m:num>
              <m:sSubSup>
                <m:e>
                  <m:r>
                    <m:t xml:space="preserve">R</m:t>
                  </m:r>
                </m:e>
                <m:sub>
                  <m:r>
                    <m:t xml:space="preserve">t</m:t>
                  </m:r>
                </m:sub>
                <m:sup>
                  <m:r>
                    <m:t xml:space="preserve">2</m:t>
                  </m:r>
                </m:sup>
              </m:sSubSup>
            </m:num>
            <m:den>
              <m:r>
                <m:t xml:space="preserve">kn</m:t>
              </m:r>
            </m:den>
          </m:f>
          <m:r>
            <m:t xml:space="preserve">  </m:t>
          </m:r>
          <m:r>
            <m:t xml:space="preserve"> (4)</m:t>
          </m:r>
        </m:oMath>
      </m:oMathPara>
    </w:p>
    <w:p w14:paraId="00100054" w14:textId="00100055">
      <w:pPr>
        <w:spacing w:after="0"/>
        <w:ind w:firstLine="480"/>
      </w:pPr>
      <w:r>
        <w:rPr>
          <w:sz w:val="24"/>
        </w:rPr>
        <w:t xml:space="preserve">证明思路：由概率生成函数（PGF），负二项分布在二项抽稀下的复合分布严格保持负二项形式；对其对数似然求导令得分为零直接解得矩估计量；计算得分函数方差即证得Fisher信息量与方差达到CRLB下界。命题1证明了对当期参数而言，信息量随规模n严格线性增长，规模收益恒为正。</w:t>
      </w:r>
    </w:p>
    <w:p w14:paraId="00100056" w14:textId="00100057">
      <w:pPr>
        <w:pStyle w:val="Heading2"/>
        <w:spacing w:before="200" w:after="80"/>
      </w:pPr>
      <w:r>
        <w:rPr>
          <w:b/>
          <w:sz w:val="24"/>
        </w:rPr>
        <w:t xml:space="preserve">3.2跨期基础水平的边际方差与平滑交叉点</w:t>
      </w:r>
    </w:p>
    <w:p w14:paraId="00100058" w14:textId="00100059">
      <w:pPr>
        <w:spacing w:after="0"/>
        <w:ind w:firstLine="480"/>
      </w:pPr>
      <w:r>
        <w:rPr>
          <w:sz w:val="24"/>
        </w:rPr>
        <w:t xml:space="preserve">命题2（跨期基础水平的单期边际方差）：在条件矩假设下，若使用单期估计量C_t/(ρn)估计跨期基础水平R̄，其给定n的条件边际方差严格由全方差公式给出：</w:t>
      </w:r>
    </w:p>
    <w:p w14:paraId="0010005A" w14:textId="0010005B">
      <m:oMathPara>
        <m:oMath>
          <m:r>
            <m:t xml:space="preserve">Var</m:t>
          </m:r>
          <m:d>
            <m:dPr/>
            <m:e>
              <m:f>
                <m:num>
                  <m:sSub>
                    <m:e>
                      <m:r>
                        <m:t xml:space="preserve">C</m:t>
                      </m:r>
                    </m:e>
                    <m:sub>
                      <m:r>
                        <m:t xml:space="preserve">t</m:t>
                      </m:r>
                    </m:sub>
                  </m:sSub>
                </m:num>
                <m:den>
                  <m:r>
                    <m:t xml:space="preserve">ρ</m:t>
                  </m:r>
                  <m:r>
                    <m:t xml:space="preserve"> n</m:t>
                  </m:r>
                </m:den>
              </m:f>
              <m:r>
                <m:t xml:space="preserve"> </m:t>
              </m:r>
              <m:r>
                <m:t xml:space="preserve">|</m:t>
              </m:r>
              <m:r>
                <m:t xml:space="preserve"> </m:t>
              </m:r>
              <m:r>
                <m:t xml:space="preserve"> n</m:t>
              </m:r>
            </m:e>
          </m:d>
          <m:sSub>
            <m:e>
              <m:r>
                <m:t xml:space="preserve"> = v</m:t>
              </m:r>
            </m:e>
            <m:sub>
              <m:r>
                <m:t xml:space="preserve">R</m:t>
              </m:r>
            </m:sub>
          </m:sSub>
          <m:r>
            <m:t xml:space="preserve"> + </m:t>
          </m:r>
          <m:f>
            <m:num>
              <m:acc>
                <m:accPr>
                  <m:chr m:val="̄"/>
                </m:accPr>
                <m:e>
                  <m:r>
                    <m:t xml:space="preserve">R</m:t>
                  </m:r>
                </m:e>
              </m:acc>
            </m:num>
            <m:den>
              <m:r>
                <m:t xml:space="preserve">ρ</m:t>
              </m:r>
              <m:r>
                <m:t xml:space="preserve"> n</m:t>
              </m:r>
            </m:den>
          </m:f>
          <m:r>
            <m:t xml:space="preserve"> + </m:t>
          </m:r>
          <m:f>
            <m:num>
              <m:sSup>
                <m:e>
                  <m:acc>
                    <m:accPr>
                      <m:chr m:val="̄"/>
                    </m:accPr>
                    <m:e>
                      <m:r>
                        <m:t xml:space="preserve">R</m:t>
                      </m:r>
                    </m:e>
                  </m:acc>
                </m:e>
                <m:sup>
                  <m:r>
                    <m:t xml:space="preserve">2</m:t>
                  </m:r>
                </m:sup>
              </m:sSup>
              <m:sSub>
                <m:e>
                  <m:r>
                    <m:t xml:space="preserve"> + v</m:t>
                  </m:r>
                </m:e>
                <m:sub>
                  <m:r>
                    <m:t xml:space="preserve">R</m:t>
                  </m:r>
                </m:sub>
              </m:sSub>
            </m:num>
            <m:den>
              <m:r>
                <m:t xml:space="preserve">kn</m:t>
              </m:r>
            </m:den>
          </m:f>
          <m:r>
            <m:t xml:space="preserve">  </m:t>
          </m:r>
          <m:r>
            <m:t xml:space="preserve"> (5)</m:t>
          </m:r>
        </m:oMath>
      </m:oMathPara>
    </w:p>
    <w:p w14:paraId="0010005C" w14:textId="0010005D">
      <w:pPr>
        <w:spacing w:after="0"/>
        <w:ind w:firstLine="480"/>
      </w:pPr>
      <w:r>
        <w:rPr>
          <w:sz w:val="24"/>
        </w:rPr>
        <w:t xml:space="preserve">定义1（方差占比交叉点）：令m=ρn为上一代风险集对应的期望被报告人数。式(5)可重写为v_R + A/m，其中A = R̄ + ρ(R̄²+v_R)/k。当v_R&gt;0时，定义规模相关方差项A/m与共同环境方差项v_R相等的期望规模为方差占比交叉点：</w:t>
      </w:r>
    </w:p>
    <w:p w14:paraId="0010005E" w14:textId="0010005F">
      <m:oMathPara>
        <m:oMath>
          <m:sSub>
            <m:e>
              <m:r>
                <m:t xml:space="preserve">m</m:t>
              </m:r>
            </m:e>
            <m:sub>
              <m:r>
                <m:t xml:space="preserve">×</m:t>
              </m:r>
            </m:sub>
          </m:sSub>
          <m:r>
            <m:t xml:space="preserve"> = </m:t>
          </m:r>
          <m:f>
            <m:num>
              <m:r>
                <m:t xml:space="preserve">A</m:t>
              </m:r>
            </m:num>
            <m:den>
              <m:sSub>
                <m:e>
                  <m:r>
                    <m:t xml:space="preserve">v</m:t>
                  </m:r>
                </m:e>
                <m:sub>
                  <m:r>
                    <m:t xml:space="preserve">R</m:t>
                  </m:r>
                </m:sub>
              </m:sSub>
            </m:den>
          </m:f>
          <m:r>
            <m:t xml:space="preserve"> = </m:t>
          </m:r>
          <m:f>
            <m:num>
              <m:acc>
                <m:accPr>
                  <m:chr m:val="̄"/>
                </m:accPr>
                <m:e>
                  <m:r>
                    <m:t xml:space="preserve">R</m:t>
                  </m:r>
                </m:e>
              </m:acc>
              <m:r>
                <m:t xml:space="preserve"> + </m:t>
              </m:r>
              <m:r>
                <m:t xml:space="preserve">ρ</m:t>
              </m:r>
              <m:r>
                <m:t xml:space="preserve">(</m:t>
              </m:r>
              <m:sSup>
                <m:e>
                  <m:acc>
                    <m:accPr>
                      <m:chr m:val="̄"/>
                    </m:accPr>
                    <m:e>
                      <m:r>
                        <m:t xml:space="preserve">R</m:t>
                      </m:r>
                    </m:e>
                  </m:acc>
                </m:e>
                <m:sup>
                  <m:r>
                    <m:t xml:space="preserve">2</m:t>
                  </m:r>
                </m:sup>
              </m:sSup>
              <m:sSub>
                <m:e>
                  <m:r>
                    <m:t xml:space="preserve"> + v</m:t>
                  </m:r>
                </m:e>
                <m:sub>
                  <m:r>
                    <m:t xml:space="preserve">R</m:t>
                  </m:r>
                </m:sub>
              </m:sSub>
              <m:r>
                <m:t xml:space="preserve">)/k</m:t>
              </m:r>
            </m:num>
            <m:den>
              <m:sSub>
                <m:e>
                  <m:r>
                    <m:t xml:space="preserve">v</m:t>
                  </m:r>
                </m:e>
                <m:sub>
                  <m:r>
                    <m:t xml:space="preserve">R</m:t>
                  </m:r>
                </m:sub>
              </m:sSub>
            </m:den>
          </m:f>
          <m:r>
            <m:t xml:space="preserve">  </m:t>
          </m:r>
          <m:r>
            <m:t xml:space="preserve"> (6)</m:t>
          </m:r>
        </m:oMath>
      </m:oMathPara>
    </w:p>
    <w:p w14:paraId="00100060" w14:textId="00100061">
      <w:pPr>
        <w:spacing w:after="0"/>
        <w:ind w:firstLine="480"/>
      </w:pPr>
      <w:r>
        <w:rPr>
          <w:sz w:val="24"/>
        </w:rPr>
        <w:t xml:space="preserve">在方差分解的代数形式上，m_×处单期估计方差内部信度比（即信号方差占总方差比例）恰好等于0.5。交叉点代表规模项与环境项权重的平滑交接点，而非突变的硬阈值。当m&gt;m_×后，环境方差开始占主导，增加病例数仅能作用于占比逐渐缩小的A/m项。</w:t>
      </w:r>
    </w:p>
    <w:p w14:paraId="00100062" w14:textId="00100063">
      <w:pPr>
        <w:pStyle w:val="Heading2"/>
        <w:spacing w:before="200" w:after="80"/>
      </w:pPr>
      <w:r>
        <w:rPr>
          <w:b/>
          <w:sz w:val="24"/>
        </w:rPr>
        <w:t xml:space="preserve">3.3监测杠杆的非对称性机制拆解</w:t>
      </w:r>
    </w:p>
    <w:p w14:paraId="00100064" w14:textId="00100065">
      <w:pPr>
        <w:spacing w:after="0"/>
        <w:ind w:firstLine="480"/>
      </w:pPr>
      <w:r>
        <w:rPr>
          <w:sz w:val="24"/>
        </w:rPr>
        <w:t xml:space="preserve">命题3（监测杠杆的非对称性与超传播方差下界）：将式(5)拆解为关于(n, ρ)的二元函数，并将第二项分解为计数方差与漏报抽稀方差R̄/(ρn) = R̄/n + (1-ρ)R̄/(ρn)。</w:t>
      </w:r>
    </w:p>
    <w:p w14:paraId="00100066" w14:textId="00100067">
      <w:pPr>
        <w:spacing w:after="0"/>
        <w:ind w:firstLine="480"/>
      </w:pPr>
      <w:r>
        <w:rPr>
          <w:sz w:val="24"/>
        </w:rPr>
        <w:t xml:space="preserve">（1）报告率杠杆的饱和下界：给定有限风险集n&lt;∞，当报告率趋于理想极限ρ→1时：</w:t>
      </w:r>
    </w:p>
    <w:p w14:paraId="00100068" w14:textId="00100069">
      <m:oMathPara>
        <m:oMath>
          <m:limLow>
            <m:limLowPr/>
            <m:e>
              <m:r>
                <m:rPr>
                  <m:nor/>
                </m:rPr>
                <m:t xml:space="preserve">lim</m:t>
              </m:r>
            </m:e>
            <m:lim>
              <m:r>
                <m:t xml:space="preserve">ρ</m:t>
              </m:r>
              <m:r>
                <m:t xml:space="preserve"> </m:t>
              </m:r>
              <m:r>
                <m:t xml:space="preserve">→</m:t>
              </m:r>
              <m:r>
                <m:t xml:space="preserve"> 1</m:t>
              </m:r>
            </m:lim>
          </m:limLow>
          <m:r>
            <m:t xml:space="preserve"> V(n, </m:t>
          </m:r>
          <m:r>
            <m:t xml:space="preserve">ρ</m:t>
          </m:r>
          <m:sSub>
            <m:e>
              <m:r>
                <m:t xml:space="preserve">) = v</m:t>
              </m:r>
            </m:e>
            <m:sub>
              <m:r>
                <m:t xml:space="preserve">R</m:t>
              </m:r>
            </m:sub>
          </m:sSub>
          <m:r>
            <m:t xml:space="preserve"> + </m:t>
          </m:r>
          <m:f>
            <m:num>
              <m:acc>
                <m:accPr>
                  <m:chr m:val="̄"/>
                </m:accPr>
                <m:e>
                  <m:r>
                    <m:t xml:space="preserve">R</m:t>
                  </m:r>
                </m:e>
              </m:acc>
            </m:num>
            <m:den>
              <m:r>
                <m:t xml:space="preserve">n</m:t>
              </m:r>
            </m:den>
          </m:f>
          <m:r>
            <m:t xml:space="preserve"> + </m:t>
          </m:r>
          <m:f>
            <m:num>
              <m:sSup>
                <m:e>
                  <m:acc>
                    <m:accPr>
                      <m:chr m:val="̄"/>
                    </m:accPr>
                    <m:e>
                      <m:r>
                        <m:t xml:space="preserve">R</m:t>
                      </m:r>
                    </m:e>
                  </m:acc>
                </m:e>
                <m:sup>
                  <m:r>
                    <m:t xml:space="preserve">2</m:t>
                  </m:r>
                </m:sup>
              </m:sSup>
              <m:sSub>
                <m:e>
                  <m:r>
                    <m:t xml:space="preserve"> + v</m:t>
                  </m:r>
                </m:e>
                <m:sub>
                  <m:r>
                    <m:t xml:space="preserve">R</m:t>
                  </m:r>
                </m:sub>
              </m:sSub>
            </m:num>
            <m:den>
              <m:r>
                <m:t xml:space="preserve">kn</m:t>
              </m:r>
            </m:den>
          </m:f>
          <m:sSub>
            <m:e>
              <m:r>
                <m:t xml:space="preserve"> &gt; v</m:t>
              </m:r>
            </m:e>
            <m:sub>
              <m:r>
                <m:t xml:space="preserve">R</m:t>
              </m:r>
            </m:sub>
          </m:sSub>
          <m:r>
            <m:t xml:space="preserve">  </m:t>
          </m:r>
          <m:r>
            <m:t xml:space="preserve"> (7)</m:t>
          </m:r>
        </m:oMath>
      </m:oMathPara>
    </w:p>
    <w:p w14:paraId="0010006A" w14:textId="0010006B">
      <w:pPr>
        <w:spacing w:after="0"/>
        <w:ind w:firstLine="480"/>
      </w:pPr>
      <w:r>
        <w:rPr>
          <w:sz w:val="24"/>
        </w:rPr>
        <w:t xml:space="preserve">提高报告率仅能消除漏报抽稀方差，无法消除完全报告时依然存在的计数波动，更无法消除个体超传播引入的内在子代抽样方差；</w:t>
      </w:r>
    </w:p>
    <w:p w14:paraId="0010006C" w14:textId="0010006D">
      <w:pPr>
        <w:spacing w:after="0"/>
        <w:ind w:firstLine="480"/>
      </w:pPr>
      <w:r>
        <w:rPr>
          <w:sz w:val="24"/>
        </w:rPr>
        <w:t xml:space="preserve">（2）样本基数杠杆的全域收敛性：无论报告率ρ处于何种水平，只要扩大真实风险集规模至极限n→∞，两项规模相关方差均严格收敛于零：</w:t>
      </w:r>
    </w:p>
    <w:p w14:paraId="0010006E" w14:textId="0010006F">
      <m:oMathPara>
        <m:oMath>
          <m:limLow>
            <m:limLowPr/>
            <m:e>
              <m:r>
                <m:rPr>
                  <m:nor/>
                </m:rPr>
                <m:t xml:space="preserve">lim</m:t>
              </m:r>
            </m:e>
            <m:lim>
              <m:r>
                <m:t xml:space="preserve">n </m:t>
              </m:r>
              <m:r>
                <m:t xml:space="preserve">→</m:t>
              </m:r>
              <m:r>
                <m:t xml:space="preserve"> </m:t>
              </m:r>
              <m:r>
                <m:t xml:space="preserve">∞</m:t>
              </m:r>
            </m:lim>
          </m:limLow>
          <m:r>
            <m:t xml:space="preserve"> V(n, </m:t>
          </m:r>
          <m:r>
            <m:t xml:space="preserve">ρ</m:t>
          </m:r>
          <m:sSub>
            <m:e>
              <m:r>
                <m:t xml:space="preserve">) = v</m:t>
              </m:r>
            </m:e>
            <m:sub>
              <m:r>
                <m:t xml:space="preserve">R</m:t>
              </m:r>
            </m:sub>
          </m:sSub>
          <m:r>
            <m:t xml:space="preserve">  </m:t>
          </m:r>
          <m:r>
            <m:t xml:space="preserve"> (8)</m:t>
          </m:r>
        </m:oMath>
      </m:oMathPara>
    </w:p>
    <w:p w14:paraId="00100070" w14:textId="00100071">
      <w:pPr>
        <w:spacing w:after="0"/>
        <w:ind w:firstLine="480"/>
      </w:pPr>
      <w:r>
        <w:rPr>
          <w:sz w:val="24"/>
        </w:rPr>
        <w:t xml:space="preserve">直观机制在于：抽稀仅改变观测比例，无法改变个体繁殖内核的内在异质性；唯有扩大真实基数n才能通过大数定律压制微观抽样随机性。</w:t>
      </w:r>
    </w:p>
    <w:p w14:paraId="00100072" w14:textId="00100073">
      <w:pPr>
        <w:pStyle w:val="Heading2"/>
        <w:spacing w:before="200" w:after="80"/>
      </w:pPr>
      <w:r>
        <w:rPr>
          <w:b/>
          <w:sz w:val="24"/>
        </w:rPr>
        <w:t xml:space="preserve">3.4跨期监测预算权衡与AR(1)环境衰减</w:t>
      </w:r>
    </w:p>
    <w:p w14:paraId="00100074" w14:textId="00100075">
      <w:pPr>
        <w:spacing w:after="0"/>
        <w:ind w:firstLine="480"/>
      </w:pPr>
      <w:r>
        <w:rPr>
          <w:sz w:val="24"/>
        </w:rPr>
        <w:t xml:space="preserve">命题4（预算约束下的监测设计权衡与可行性集合）：设在T个观测期内总监测输入规模预算受限为B = T·m（每期m = ρn_T）：</w:t>
      </w:r>
    </w:p>
    <w:p w14:paraId="00100076" w14:textId="00100077">
      <w:pPr>
        <w:spacing w:after="0"/>
        <w:ind w:firstLine="480"/>
      </w:pPr>
      <w:r>
        <w:rPr>
          <w:sz w:val="24"/>
        </w:rPr>
        <w:t xml:space="preserve">（1）若各期环境扰动跨期独立，平均估计量的方差为Var(R̄_T) = v_R/T + A/B。总预算B固定时，拉长观测期数T能够以O(1/T)严格单调降低估计方差；</w:t>
      </w:r>
    </w:p>
    <w:p w14:paraId="00100078" w14:textId="00100079">
      <w:pPr>
        <w:spacing w:after="0"/>
        <w:ind w:firstLine="480"/>
      </w:pPr>
      <w:r>
        <w:rPr>
          <w:sz w:val="24"/>
        </w:rPr>
        <w:t xml:space="preserve">（2）若环境扰动存在一阶自回归自相关Cov(R_t, R_{t+s}) = v_R r^{|s|}（0≤r&lt;1），有限期数T下的精确方差为：</w:t>
      </w:r>
    </w:p>
    <w:p w14:paraId="0010007A" w14:textId="0010007B">
      <m:oMathPara>
        <m:oMath>
          <m:r>
            <m:t xml:space="preserve">Var(</m:t>
          </m:r>
          <m:sSub>
            <m:e>
              <m:acc>
                <m:accPr>
                  <m:chr m:val="̄"/>
                </m:accPr>
                <m:e>
                  <m:acc>
                    <m:accPr>
                      <m:chr m:val="̂"/>
                    </m:accPr>
                    <m:e>
                      <m:r>
                        <m:t xml:space="preserve">R</m:t>
                      </m:r>
                    </m:e>
                  </m:acc>
                </m:e>
              </m:acc>
            </m:e>
            <m:sub>
              <m:r>
                <m:t xml:space="preserve">T</m:t>
              </m:r>
            </m:sub>
          </m:sSub>
          <m:r>
            <m:t xml:space="preserve">) = </m:t>
          </m:r>
          <m:f>
            <m:num>
              <m:sSub>
                <m:e>
                  <m:r>
                    <m:t xml:space="preserve">v</m:t>
                  </m:r>
                </m:e>
                <m:sub>
                  <m:r>
                    <m:t xml:space="preserve">R</m:t>
                  </m:r>
                </m:sub>
              </m:sSub>
            </m:num>
            <m:den>
              <m:r>
                <m:t xml:space="preserve">T</m:t>
              </m:r>
            </m:den>
          </m:f>
          <m:d>
            <m:dPr>
              <m:begChr m:val="["/>
              <m:endChr m:val="]"/>
            </m:dPr>
            <m:e>
              <m:f>
                <m:num>
                  <m:r>
                    <m:t xml:space="preserve">1+r</m:t>
                  </m:r>
                </m:num>
                <m:den>
                  <m:r>
                    <m:t xml:space="preserve">1-r</m:t>
                  </m:r>
                </m:den>
              </m:f>
              <m:r>
                <m:t xml:space="preserve"> - </m:t>
              </m:r>
              <m:f>
                <m:num>
                  <m:sSup>
                    <m:e>
                      <m:r>
                        <m:t xml:space="preserve">2r(1-r</m:t>
                      </m:r>
                    </m:e>
                    <m:sup>
                      <m:r>
                        <m:t xml:space="preserve">T</m:t>
                      </m:r>
                    </m:sup>
                  </m:sSup>
                  <m:r>
                    <m:t xml:space="preserve">)</m:t>
                  </m:r>
                </m:num>
                <m:den>
                  <m:sSup>
                    <m:e>
                      <m:r>
                        <m:t xml:space="preserve">T(1-r)</m:t>
                      </m:r>
                    </m:e>
                    <m:sup>
                      <m:r>
                        <m:t xml:space="preserve">2</m:t>
                      </m:r>
                    </m:sup>
                  </m:sSup>
                </m:den>
              </m:f>
            </m:e>
          </m:d>
          <m:r>
            <m:t xml:space="preserve"> + </m:t>
          </m:r>
          <m:f>
            <m:num>
              <m:r>
                <m:t xml:space="preserve">A</m:t>
              </m:r>
            </m:num>
            <m:den>
              <m:r>
                <m:t xml:space="preserve">B</m:t>
              </m:r>
            </m:den>
          </m:f>
          <m:r>
            <m:t xml:space="preserve">  </m:t>
          </m:r>
          <m:r>
            <m:t xml:space="preserve"> (9)</m:t>
          </m:r>
        </m:oMath>
      </m:oMathPara>
    </w:p>
    <w:p w14:paraId="0010007C" w14:textId="0010007D">
      <w:pPr>
        <w:spacing w:after="0"/>
        <w:ind w:firstLine="480"/>
      </w:pPr>
      <w:r>
        <w:rPr>
          <w:sz w:val="24"/>
        </w:rPr>
        <w:t xml:space="preserve">大期数极限下有效独立期数近似为T_eff = T(1-r)/(1+r)；（3）当要求各期风险集相同且为正整数并精确用尽预算时，可行设计集合为B/ρ的正整数因子集合。</w:t>
      </w:r>
    </w:p>
    <w:p w14:paraId="0010007E" w14:textId="0010007F">
      <w:pPr>
        <w:pStyle w:val="Heading2"/>
        <w:spacing w:before="200" w:after="80"/>
      </w:pPr>
      <w:r>
        <w:rPr>
          <w:b/>
          <w:sz w:val="24"/>
        </w:rPr>
        <w:t xml:space="preserve">3.5成本约束下的最优监测规模闭式解</w:t>
      </w:r>
    </w:p>
    <w:p w14:paraId="00100080" w14:textId="00100081">
      <w:pPr>
        <w:spacing w:after="0"/>
        <w:ind w:firstLine="480"/>
      </w:pPr>
      <w:r>
        <w:rPr>
          <w:sz w:val="24"/>
        </w:rPr>
        <w:t xml:space="preserve">推论1（成本与预算约束下的最优监测规模）：设每期固定运转成本为c_0&gt;0，每上报一例边际成本为c_1&gt;0（人均监测成本c_1'下对应c_1 = c_1'/ρ）。在总成本预算B = T(c_0 + c_1 m)与连续期数T≥1近似约束下，最优单期规模由一阶导数唯一确定为：</w:t>
      </w:r>
    </w:p>
    <w:p w14:paraId="00100082" w14:textId="00100083">
      <m:oMathPara>
        <m:oMath>
          <m:sSup>
            <m:e>
              <m:r>
                <m:t xml:space="preserve">m</m:t>
              </m:r>
            </m:e>
            <m:sup>
              <m:r>
                <m:t xml:space="preserve">*</m:t>
              </m:r>
            </m:sup>
          </m:sSup>
          <m:r>
            <m:t xml:space="preserve"> = </m:t>
          </m:r>
          <m:rad>
            <m:radPr>
              <m:degHide m:val="true"/>
            </m:radPr>
            <m:deg/>
            <m:e>
              <m:f>
                <m:num>
                  <m:sSub>
                    <m:e>
                      <m:r>
                        <m:t xml:space="preserve">c</m:t>
                      </m:r>
                    </m:e>
                    <m:sub>
                      <m:r>
                        <m:t xml:space="preserve">0</m:t>
                      </m:r>
                    </m:sub>
                  </m:sSub>
                </m:num>
                <m:den>
                  <m:sSub>
                    <m:e>
                      <m:r>
                        <m:t xml:space="preserve">c</m:t>
                      </m:r>
                    </m:e>
                    <m:sub>
                      <m:r>
                        <m:t xml:space="preserve">1</m:t>
                      </m:r>
                    </m:sub>
                  </m:sSub>
                </m:den>
              </m:f>
              <m:sSub>
                <m:e>
                  <m:r>
                    <m:t xml:space="preserve"> m</m:t>
                  </m:r>
                </m:e>
                <m:sub>
                  <m:r>
                    <m:t xml:space="preserve">×</m:t>
                  </m:r>
                </m:sub>
              </m:sSub>
            </m:e>
          </m:rad>
          <m:r>
            <m:t xml:space="preserve">  </m:t>
          </m:r>
          <m:r>
            <m:t xml:space="preserve"> (10)</m:t>
          </m:r>
        </m:oMath>
      </m:oMathPara>
    </w:p>
    <w:p w14:paraId="00100084" w14:textId="00100085">
      <w:pPr>
        <w:spacing w:after="0"/>
        <w:ind w:firstLine="480"/>
      </w:pPr>
      <w:r>
        <w:rPr>
          <w:sz w:val="24"/>
        </w:rPr>
        <w:t xml:space="preserve">注记：若由内部一阶条件求出的规模超出可行上界（即sqrt((c_0/c_1)m_×) &gt; (B-c_0)/c_1），则由凸函数单调性取边界角点解m* = (B-c_0)/c_1（对应T=1）。在数理同构上，方差v_R/T + A/(Tm)与总成本T(c_0 + c_1 m)结构与经典两阶段抽样最优次级样本量配置模型[36]严格对应（期数T对应初级抽样单元，单期病例m对应次级单元）。推论1将其运用于动态监测运筹，并引入AR(1)自相关修正：有效环境方差增大为v_eff，最优单期规模相应调整为m*_AR = sqrt((c_0/c_1)·m_×·(1-r)/(1+r)) &lt; m*。最优规模m*对未知方差参数的依赖完全通过交叉点m_×充分降维体现。</w:t>
      </w:r>
    </w:p>
    <w:p w14:paraId="00100086" w14:textId="00100087">
      <w:pPr>
        <w:pStyle w:val="Heading2"/>
        <w:spacing w:before="200" w:after="80"/>
      </w:pPr>
      <w:r>
        <w:rPr>
          <w:b/>
          <w:sz w:val="24"/>
        </w:rPr>
        <w:t xml:space="preserve">3.6单调似然比超临界增长判定检验</w:t>
      </w:r>
    </w:p>
    <w:p w14:paraId="00100088" w14:textId="00100089">
      <w:pPr>
        <w:spacing w:after="0"/>
        <w:ind w:firstLine="480"/>
      </w:pPr>
      <w:r>
        <w:rPr>
          <w:sz w:val="24"/>
        </w:rPr>
        <w:t xml:space="preserve">命题5（当期超临界增长判定检验与精确离散功效）：针对单侧假设检验H_0: R_t ≤ 1 对 H_1: R_t &gt; 1：</w:t>
      </w:r>
    </w:p>
    <w:p w14:paraId="0010008A" w14:textId="0010008B">
      <w:pPr>
        <w:spacing w:after="0"/>
        <w:ind w:firstLine="480"/>
      </w:pPr>
      <w:r>
        <w:rPr>
          <w:sz w:val="24"/>
        </w:rPr>
        <w:t xml:space="preserve">（1）负二项分布族关于充分统计量C_t具有单调似然比（MLR）性质；非随机化上尾检验拒绝域{C_t ≥ c_α}在复合原假设下将第一类错误率严格控制在α以内：由MLR性质，尾部概率关于R_t单调不减，上确界严格在边界点R_t=1取到：sup_{R_t≤1} Pr(C_t ≥ c_α) = Pr_{R_t=1}(C_t ≥ c_α) ≤ α，离散临界值c_α取满足该式的最小非负整数；</w:t>
      </w:r>
    </w:p>
    <w:p w14:paraId="0010008C" w14:textId="0010008D">
      <w:pPr>
        <w:spacing w:after="0"/>
        <w:ind w:firstLine="480"/>
      </w:pPr>
      <w:r>
        <w:rPr>
          <w:sz w:val="24"/>
        </w:rPr>
        <w:t xml:space="preserve">（2）对任意备择增长强度R_t = 1 + δ，精确检出功效由负二项分布累积函数补集给出：π(n, δ) = 1 - F_NB(c_α - 1; nk, k/(k+ρ(1+δ)))。因c_α随n离散跳跃，功效关于n呈非单调阶梯状，最小样本量须逐点枚举求解。</w:t>
      </w:r>
    </w:p>
    <w:p w14:paraId="0010008E" w14:textId="0010008F">
      <w:pPr>
        <w:pStyle w:val="Heading2"/>
        <w:spacing w:before="200" w:after="80"/>
      </w:pPr>
      <w:r>
        <w:rPr>
          <w:b/>
          <w:sz w:val="24"/>
        </w:rPr>
        <w:t xml:space="preserve">3.7更新过程前瞻预测误差的条件分解</w:t>
      </w:r>
    </w:p>
    <w:p w14:paraId="00100090" w14:textId="00100091">
      <w:pPr>
        <w:spacing w:after="0"/>
        <w:ind w:firstLine="480"/>
      </w:pPr>
      <w:r>
        <w:rPr>
          <w:sz w:val="24"/>
        </w:rPr>
        <w:t xml:space="preserve">命题6（真实感染与报告病例的单步预测方差分解）：基于报告信息集F_t^C，未来真实感染与报告病例的单步预测方差严格满足全方差条件展开：</w:t>
      </w:r>
    </w:p>
    <w:p w14:paraId="00100092" w14:textId="00100093">
      <m:oMathPara>
        <m:oMath>
          <m:sSub>
            <m:e>
              <m:r>
                <m:t xml:space="preserve">Var(I</m:t>
              </m:r>
            </m:e>
            <m:sub>
              <m:r>
                <m:t xml:space="preserve">t+1</m:t>
              </m:r>
            </m:sub>
          </m:sSub>
          <m:r>
            <m:t xml:space="preserve">|</m:t>
          </m:r>
          <m:r>
            <m:t xml:space="preserve"> </m:t>
          </m:r>
          <m:r>
            <m:t xml:space="preserve"> </m:t>
          </m:r>
          <m:sSubSup>
            <m:e>
              <m:r>
                <m:rPr>
                  <m:scr m:val="script"/>
                  <m:sty m:val="p"/>
                </m:rPr>
                <m:t xml:space="preserve">F</m:t>
              </m:r>
            </m:e>
            <m:sub>
              <m:r>
                <m:t xml:space="preserve">t</m:t>
              </m:r>
            </m:sub>
            <m:sup>
              <m:r>
                <m:t xml:space="preserve">C</m:t>
              </m:r>
            </m:sup>
          </m:sSubSup>
          <m:r>
            <m:t xml:space="preserve">) = Var(</m:t>
          </m:r>
          <m:sSub>
            <m:e>
              <m:r>
                <m:t xml:space="preserve">Λ</m:t>
              </m:r>
            </m:e>
            <m:sub>
              <m:r>
                <m:t xml:space="preserve">t+1</m:t>
              </m:r>
            </m:sub>
          </m:sSub>
          <m:sSub>
            <m:e>
              <m:r>
                <m:t xml:space="preserve"> R</m:t>
              </m:r>
            </m:e>
            <m:sub>
              <m:r>
                <m:t xml:space="preserve">t+1</m:t>
              </m:r>
            </m:sub>
          </m:sSub>
          <m:r>
            <m:t xml:space="preserve">|</m:t>
          </m:r>
          <m:r>
            <m:t xml:space="preserve"> </m:t>
          </m:r>
          <m:r>
            <m:t xml:space="preserve"> </m:t>
          </m:r>
          <m:sSubSup>
            <m:e>
              <m:r>
                <m:rPr>
                  <m:scr m:val="script"/>
                  <m:sty m:val="p"/>
                </m:rPr>
                <m:t xml:space="preserve">F</m:t>
              </m:r>
            </m:e>
            <m:sub>
              <m:r>
                <m:t xml:space="preserve">t</m:t>
              </m:r>
            </m:sub>
            <m:sup>
              <m:r>
                <m:t xml:space="preserve">C</m:t>
              </m:r>
            </m:sup>
          </m:sSubSup>
          <m:r>
            <m:t xml:space="preserve">) + E</m:t>
          </m:r>
          <m:r>
            <m:t xml:space="preserve">[</m:t>
          </m:r>
          <m:sSub>
            <m:e>
              <m:r>
                <m:t xml:space="preserve">Var(I</m:t>
              </m:r>
            </m:e>
            <m:sub>
              <m:r>
                <m:t xml:space="preserve">t+1</m:t>
              </m:r>
            </m:sub>
          </m:sSub>
          <m:r>
            <m:t xml:space="preserve">|</m:t>
          </m:r>
          <m:r>
            <m:t xml:space="preserve"> </m:t>
          </m:r>
          <m:r>
            <m:t xml:space="preserve"> </m:t>
          </m:r>
          <m:sSub>
            <m:e>
              <m:r>
                <m:t xml:space="preserve">Λ</m:t>
              </m:r>
            </m:e>
            <m:sub>
              <m:r>
                <m:t xml:space="preserve">t+1</m:t>
              </m:r>
            </m:sub>
          </m:sSub>
          <m:sSub>
            <m:e>
              <m:r>
                <m:t xml:space="preserve">, R</m:t>
              </m:r>
            </m:e>
            <m:sub>
              <m:r>
                <m:t xml:space="preserve">t+1</m:t>
              </m:r>
            </m:sub>
          </m:sSub>
          <m:r>
            <m:t xml:space="preserve">, </m:t>
          </m:r>
          <m:sSubSup>
            <m:e>
              <m:r>
                <m:rPr>
                  <m:scr m:val="script"/>
                  <m:sty m:val="p"/>
                </m:rPr>
                <m:t xml:space="preserve">F</m:t>
              </m:r>
            </m:e>
            <m:sub>
              <m:r>
                <m:t xml:space="preserve">t</m:t>
              </m:r>
            </m:sub>
            <m:sup>
              <m:r>
                <m:t xml:space="preserve">C</m:t>
              </m:r>
            </m:sup>
          </m:sSubSup>
          <m:r>
            <m:t xml:space="preserve">)</m:t>
          </m:r>
          <m:r>
            <m:t xml:space="preserve">|</m:t>
          </m:r>
          <m:r>
            <m:t xml:space="preserve"> </m:t>
          </m:r>
          <m:r>
            <m:t xml:space="preserve"> </m:t>
          </m:r>
          <m:sSubSup>
            <m:e>
              <m:r>
                <m:rPr>
                  <m:scr m:val="script"/>
                  <m:sty m:val="p"/>
                </m:rPr>
                <m:t xml:space="preserve">F</m:t>
              </m:r>
            </m:e>
            <m:sub>
              <m:r>
                <m:t xml:space="preserve">t</m:t>
              </m:r>
            </m:sub>
            <m:sup>
              <m:r>
                <m:t xml:space="preserve">C</m:t>
              </m:r>
            </m:sup>
          </m:sSubSup>
          <m:r>
            <m:t xml:space="preserve">]</m:t>
          </m:r>
          <m:r>
            <m:t xml:space="preserve">  </m:t>
          </m:r>
          <m:r>
            <m:t xml:space="preserve"> (11)</m:t>
          </m:r>
        </m:oMath>
      </m:oMathPara>
    </w:p>
    <w:p w14:paraId="00100094" w14:textId="00100095">
      <m:oMathPara>
        <m:oMath>
          <m:sSub>
            <m:e>
              <m:r>
                <m:t xml:space="preserve">Var(C</m:t>
              </m:r>
            </m:e>
            <m:sub>
              <m:r>
                <m:t xml:space="preserve">t+1</m:t>
              </m:r>
            </m:sub>
          </m:sSub>
          <m:r>
            <m:t xml:space="preserve">|</m:t>
          </m:r>
          <m:r>
            <m:t xml:space="preserve"> </m:t>
          </m:r>
          <m:r>
            <m:t xml:space="preserve"> </m:t>
          </m:r>
          <m:sSubSup>
            <m:e>
              <m:r>
                <m:rPr>
                  <m:scr m:val="script"/>
                  <m:sty m:val="p"/>
                </m:rPr>
                <m:t xml:space="preserve">F</m:t>
              </m:r>
            </m:e>
            <m:sub>
              <m:r>
                <m:t xml:space="preserve">t</m:t>
              </m:r>
            </m:sub>
            <m:sup>
              <m:r>
                <m:t xml:space="preserve">C</m:t>
              </m:r>
            </m:sup>
          </m:sSubSup>
          <m:r>
            <m:t xml:space="preserve">) = </m:t>
          </m:r>
          <m:r>
            <m:t xml:space="preserve">ρ</m:t>
          </m:r>
          <m:r>
            <m:t xml:space="preserve">(1-</m:t>
          </m:r>
          <m:r>
            <m:t xml:space="preserve">ρ</m:t>
          </m:r>
          <m:r>
            <m:t xml:space="preserve">) E</m:t>
          </m:r>
          <m:r>
            <m:t xml:space="preserve">[</m:t>
          </m:r>
          <m:sSub>
            <m:e>
              <m:r>
                <m:t xml:space="preserve">I</m:t>
              </m:r>
            </m:e>
            <m:sub>
              <m:r>
                <m:t xml:space="preserve">t+1</m:t>
              </m:r>
            </m:sub>
          </m:sSub>
          <m:r>
            <m:t xml:space="preserve">|</m:t>
          </m:r>
          <m:r>
            <m:t xml:space="preserve"> </m:t>
          </m:r>
          <m:r>
            <m:t xml:space="preserve"> </m:t>
          </m:r>
          <m:sSubSup>
            <m:e>
              <m:r>
                <m:rPr>
                  <m:scr m:val="script"/>
                  <m:sty m:val="p"/>
                </m:rPr>
                <m:t xml:space="preserve">F</m:t>
              </m:r>
            </m:e>
            <m:sub>
              <m:r>
                <m:t xml:space="preserve">t</m:t>
              </m:r>
            </m:sub>
            <m:sup>
              <m:r>
                <m:t xml:space="preserve">C</m:t>
              </m:r>
            </m:sup>
          </m:sSubSup>
          <m:r>
            <m:t xml:space="preserve">]</m:t>
          </m:r>
          <m:r>
            <m:t xml:space="preserve"> + </m:t>
          </m:r>
          <m:sSup>
            <m:e>
              <m:r>
                <m:t xml:space="preserve">ρ</m:t>
              </m:r>
            </m:e>
            <m:sup>
              <m:r>
                <m:t xml:space="preserve">2</m:t>
              </m:r>
            </m:sup>
          </m:sSup>
          <m:sSub>
            <m:e>
              <m:r>
                <m:t xml:space="preserve"> Var(I</m:t>
              </m:r>
            </m:e>
            <m:sub>
              <m:r>
                <m:t xml:space="preserve">t+1</m:t>
              </m:r>
            </m:sub>
          </m:sSub>
          <m:r>
            <m:t xml:space="preserve">|</m:t>
          </m:r>
          <m:r>
            <m:t xml:space="preserve"> </m:t>
          </m:r>
          <m:r>
            <m:t xml:space="preserve"> </m:t>
          </m:r>
          <m:sSubSup>
            <m:e>
              <m:r>
                <m:rPr>
                  <m:scr m:val="script"/>
                  <m:sty m:val="p"/>
                </m:rPr>
                <m:t xml:space="preserve">F</m:t>
              </m:r>
            </m:e>
            <m:sub>
              <m:r>
                <m:t xml:space="preserve">t</m:t>
              </m:r>
            </m:sub>
            <m:sup>
              <m:r>
                <m:t xml:space="preserve">C</m:t>
              </m:r>
            </m:sup>
          </m:sSubSup>
          <m:r>
            <m:t xml:space="preserve">)</m:t>
          </m:r>
          <m:r>
            <m:t xml:space="preserve">  </m:t>
          </m:r>
          <m:r>
            <m:t xml:space="preserve"> (12)</m:t>
          </m:r>
        </m:oMath>
      </m:oMathPara>
    </w:p>
    <w:p w14:paraId="00100096" w14:textId="00100097">
      <w:pPr>
        <w:spacing w:after="0"/>
        <w:ind w:firstLine="480"/>
      </w:pPr>
      <w:r>
        <w:rPr>
          <w:sz w:val="24"/>
        </w:rPr>
        <w:t xml:space="preserve">在时间序列更新过程中，事后增长统计量均方误差与事前单步预测相对均方误差严格相差常数因子1/R̄²，但在F_t^C下包含预测偏差项与分母随机加权，单代基准不能直接等同移用。</w:t>
      </w:r>
    </w:p>
    <w:p w14:paraId="00100098" w14:textId="00100099">
      <w:pPr>
        <w:pStyle w:val="Heading1"/>
        <w:spacing w:before="280" w:after="120"/>
      </w:pPr>
      <w:r>
        <w:rPr>
          <w:b/>
          <w:sz w:val="28"/>
        </w:rPr>
        <w:t xml:space="preserve">4数值模拟评估</w:t>
      </w:r>
    </w:p>
    <w:p w14:paraId="0010009A" w14:textId="0010009B">
      <w:pPr>
        <w:pStyle w:val="Heading2"/>
        <w:spacing w:before="200" w:after="80"/>
      </w:pPr>
      <w:r>
        <w:rPr>
          <w:b/>
          <w:sz w:val="24"/>
        </w:rPr>
        <w:t xml:space="preserve">4.1理论命题与交叉点的数值验证</w:t>
      </w:r>
    </w:p>
    <w:p w14:paraId="0010009C" w14:textId="0010009D">
      <w:pPr>
        <w:spacing w:after="0"/>
        <w:ind w:firstLine="480"/>
      </w:pPr>
      <w:r>
        <w:rPr>
          <w:sz w:val="24"/>
        </w:rPr>
        <w:t xml:space="preserve">在基准参数配置（R̄=1.15, v_R=0.04, k=0.35, ρ=0.25）下进行50,000次蒙特卡洛随机模拟。图1展示了数值模拟与解析公式的对比。当期参数方差随m无界衰减，而跨期基础水平方差平滑趋向环境底板v_R=0.040；经验方差与理论推导比值处于0.988–1.017之间；在解析交叉点m_×=53.1处，两类方差贡献各占50%；规模每翻倍的方差削减率严格依循1/(2(1+m/m_×))解析规律。</w:t>
      </w:r>
    </w:p>
    <w:p w14:paraId="0010009E" w14:textId="0010009F">
      <w:pPr>
        <w:spacing w:before="240" w:after="40"/>
        <w:jc w:val="center"/>
      </w:pPr>
      <w:r>
        <w:drawing>
          <wp:inline distT="0" distB="0" distL="0" distR="0">
            <wp:extent cx="5303520" cy="1617458"/>
            <wp:effectExtent l="0" t="0" r="0" b="0"/>
            <wp:docPr id="1" name="图1 理论命题与方差占比交叉点蒙特卡洛验证" descr="图1 理论命题与方差占比交叉点蒙特卡洛验证"/>
            <wp:cNvGraphicFramePr>
              <a:graphicFrameLocks noChangeAspect="1"/>
            </wp:cNvGraphicFramePr>
            <a:graphic>
              <a:graphicData uri="http://schemas.openxmlformats.org/drawingml/2006/picture">
                <pic:pic>
                  <pic:nvPicPr>
                    <pic:cNvPr id="1" name="图1 理论命题与方差占比交叉点蒙特卡洛验证"/>
                    <pic:cNvPicPr/>
                  </pic:nvPicPr>
                  <pic:blipFill>
                    <a:blip r:embed="Rf48636a26c2a4f4a" cstate="print"/>
                    <a:stretch>
                      <a:fillRect/>
                    </a:stretch>
                  </pic:blipFill>
                  <pic:spPr>
                    <a:xfrm>
                      <a:off x="0" y="0"/>
                      <a:ext cx="5303520" cy="1617458"/>
                    </a:xfrm>
                    <a:prstGeom prst="rect">
                      <a:avLst/>
                    </a:prstGeom>
                  </pic:spPr>
                </pic:pic>
              </a:graphicData>
            </a:graphic>
          </wp:inline>
        </w:drawing>
      </w:r>
    </w:p>
    <w:p w14:paraId="001000A0" w14:textId="001000A1">
      <w:pPr>
        <w:spacing w:before="40" w:after="240"/>
        <w:jc w:val="center"/>
      </w:pPr>
      <w:r>
        <w:rPr>
          <w:b/>
          <w:sz w:val="21"/>
        </w:rPr>
        <w:t xml:space="preserve">图1 理论命题与方差占比交叉点蒙特卡洛验证</w:t>
      </w:r>
    </w:p>
    <w:p w14:paraId="001000A2" w14:textId="001000A3">
      <w:pPr>
        <w:pStyle w:val="Heading2"/>
        <w:spacing w:before="200" w:after="80"/>
      </w:pPr>
      <w:r>
        <w:rPr>
          <w:b/>
          <w:sz w:val="24"/>
        </w:rPr>
        <w:t xml:space="preserve">4.2增长判定检验的有限样本功效与Wald近似失效</w:t>
      </w:r>
    </w:p>
    <w:p w14:paraId="001000A4" w14:textId="001000A5">
      <w:pPr>
        <w:spacing w:after="0"/>
        <w:ind w:firstLine="480"/>
      </w:pPr>
      <w:r>
        <w:rPr>
          <w:sz w:val="24"/>
        </w:rPr>
        <w:t xml:space="preserve">在名义水平α=0.05下进行30,000次抽样。图2展现了关键发现：(1)渐近正态Wald检验在低规模且超传播（k≤0.35）时发生系统性过检失效，在m=5, k=0.1处一类错误率高达8.1%（名义水平的1.6倍），而精确离散检验在全域严格受控；(2)达到80%功效所需的首次穿越样本量n对信号强度呈现剧烈非线性响应；(3)强超传播对样本量需求放大了近3倍（k=0.1需m=415例 vs. k=1.0需142例）。</w:t>
      </w:r>
    </w:p>
    <w:p w14:paraId="001000A6" w14:textId="001000A7">
      <w:pPr>
        <w:spacing w:before="240" w:after="40"/>
        <w:jc w:val="center"/>
      </w:pPr>
      <w:r>
        <w:drawing>
          <wp:inline distT="0" distB="0" distL="0" distR="0">
            <wp:extent cx="5303520" cy="1455234"/>
            <wp:effectExtent l="0" t="0" r="0" b="0"/>
            <wp:docPr id="2" name="图2 当期超临界增长判定检验功效与有限样本性质验证" descr="图2 当期超临界增长判定检验功效与有限样本性质验证"/>
            <wp:cNvGraphicFramePr>
              <a:graphicFrameLocks noChangeAspect="1"/>
            </wp:cNvGraphicFramePr>
            <a:graphic>
              <a:graphicData uri="http://schemas.openxmlformats.org/drawingml/2006/picture">
                <pic:pic>
                  <pic:nvPicPr>
                    <pic:cNvPr id="2" name="图2 当期超临界增长判定检验功效与有限样本性质验证"/>
                    <pic:cNvPicPr/>
                  </pic:nvPicPr>
                  <pic:blipFill>
                    <a:blip r:embed="R8153e3e6613b47f7" cstate="print"/>
                    <a:stretch>
                      <a:fillRect/>
                    </a:stretch>
                  </pic:blipFill>
                  <pic:spPr>
                    <a:xfrm>
                      <a:off x="0" y="0"/>
                      <a:ext cx="5303520" cy="1455234"/>
                    </a:xfrm>
                    <a:prstGeom prst="rect">
                      <a:avLst/>
                    </a:prstGeom>
                  </pic:spPr>
                </pic:pic>
              </a:graphicData>
            </a:graphic>
          </wp:inline>
        </w:drawing>
      </w:r>
    </w:p>
    <w:p w14:paraId="001000A8" w14:textId="001000A9">
      <w:pPr>
        <w:spacing w:before="40" w:after="240"/>
        <w:jc w:val="center"/>
      </w:pPr>
      <w:r>
        <w:rPr>
          <w:b/>
          <w:sz w:val="21"/>
        </w:rPr>
        <w:t xml:space="preserve">图2 当期超临界增长判定检验功效与有限样本性质验证</w:t>
      </w:r>
    </w:p>
    <w:p w14:paraId="001000AA" w14:textId="001000AB">
      <w:pPr>
        <w:pStyle w:val="Heading2"/>
        <w:spacing w:before="200" w:after="80"/>
      </w:pPr>
      <w:r>
        <w:rPr>
          <w:b/>
          <w:sz w:val="24"/>
        </w:rPr>
        <w:t xml:space="preserve">4.3代际更新过程时间序列预测误差衰减仿真</w:t>
      </w:r>
    </w:p>
    <w:p w14:paraId="001000AC" w14:textId="001000AD">
      <w:pPr>
        <w:spacing w:after="0"/>
        <w:ind w:firstLine="480"/>
      </w:pPr>
      <w:r>
        <w:rPr>
          <w:sz w:val="24"/>
        </w:rPr>
        <w:t xml:space="preserve">在150条更新过程轨迹（3,900个评价点）中评估事前预测误差演化。图3表明：在中大规模段（m≥25），经验误差平滑趋向环境相对方差底板0.0302，贴合度达参照曲线的0.75–0.98倍；在极小规模段（m=6），完整样本的经验误差为0.718（相对损失0.543，为参照曲线的1.82倍），反映了更新过程重尾偏差与分母波动的非线性放大，直接证实了单代基准在极小规模下的失配。</w:t>
      </w:r>
    </w:p>
    <w:p w14:paraId="001000AE" w14:textId="001000AF">
      <w:pPr>
        <w:spacing w:before="240" w:after="40"/>
        <w:jc w:val="center"/>
      </w:pPr>
      <w:r>
        <w:drawing>
          <wp:inline distT="0" distB="0" distL="0" distR="0">
            <wp:extent cx="5303520" cy="1411133"/>
            <wp:effectExtent l="0" t="0" r="0" b="0"/>
            <wp:docPr id="3" name="图3 更新过程时间序列事后统计量与事前预测误差对照" descr="图3 更新过程时间序列事后统计量与事前预测误差对照"/>
            <wp:cNvGraphicFramePr>
              <a:graphicFrameLocks noChangeAspect="1"/>
            </wp:cNvGraphicFramePr>
            <a:graphic>
              <a:graphicData uri="http://schemas.openxmlformats.org/drawingml/2006/picture">
                <pic:pic>
                  <pic:nvPicPr>
                    <pic:cNvPr id="3" name="图3 更新过程时间序列事后统计量与事前预测误差对照"/>
                    <pic:cNvPicPr/>
                  </pic:nvPicPr>
                  <pic:blipFill>
                    <a:blip r:embed="Rbe1fe3d033fc4be2" cstate="print"/>
                    <a:stretch>
                      <a:fillRect/>
                    </a:stretch>
                  </pic:blipFill>
                  <pic:spPr>
                    <a:xfrm>
                      <a:off x="0" y="0"/>
                      <a:ext cx="5303520" cy="1411133"/>
                    </a:xfrm>
                    <a:prstGeom prst="rect">
                      <a:avLst/>
                    </a:prstGeom>
                  </pic:spPr>
                </pic:pic>
              </a:graphicData>
            </a:graphic>
          </wp:inline>
        </w:drawing>
      </w:r>
    </w:p>
    <w:p w14:paraId="001000B0" w14:textId="001000B1">
      <w:pPr>
        <w:spacing w:before="40" w:after="240"/>
        <w:jc w:val="center"/>
      </w:pPr>
      <w:r>
        <w:rPr>
          <w:b/>
          <w:sz w:val="21"/>
        </w:rPr>
        <w:t xml:space="preserve">图3 更新过程时间序列事后统计量与事前预测误差对照</w:t>
      </w:r>
    </w:p>
    <w:p w14:paraId="001000B2" w14:textId="001000B3">
      <w:pPr>
        <w:pStyle w:val="Heading1"/>
        <w:spacing w:before="280" w:after="120"/>
      </w:pPr>
      <w:r>
        <w:rPr>
          <w:b/>
          <w:sz w:val="28"/>
        </w:rPr>
        <w:t xml:space="preserve">5实证检验：全美流感住院监测数据（2020—2026）</w:t>
      </w:r>
    </w:p>
    <w:p w14:paraId="001000B4" w14:textId="001000B5">
      <w:pPr>
        <w:pStyle w:val="Heading2"/>
        <w:spacing w:before="200" w:after="80"/>
      </w:pPr>
      <w:r>
        <w:rPr>
          <w:b/>
          <w:sz w:val="24"/>
        </w:rPr>
        <w:t xml:space="preserve">5.1数据来源、制度分段与有效样本界定</w:t>
      </w:r>
    </w:p>
    <w:p w14:paraId="001000B6" w14:textId="001000B7">
      <w:pPr>
        <w:spacing w:after="0"/>
        <w:ind w:firstLine="480"/>
      </w:pPr>
      <w:r>
        <w:rPr>
          <w:sz w:val="24"/>
        </w:rPr>
        <w:t xml:space="preserve">数据来源于美国CDC NHSN周度流感确诊新发住院人数与各州医院报告覆盖率官方开放数据（官方目录标识符ua7e-t2fy，SHA-256校验和e48c2ea92e0beb552a6510b7b0c2fe7a7c9ea911cd27880169298c34de20c330）。该住院指标系全美CDC FluSight自2021—22赛季起确立的核心基准预测目标[31]，具备坚实的公共卫生实战代表性。样本跨越2020年8月至2026年9月初共16,218个州--周观测。样本筛选采用单一口径：D_t≥5的活跃周阈值（得10,303个有效州--周），不设覆盖率门槛以避免系统剔除低覆盖样本。</w:t>
      </w:r>
    </w:p>
    <w:p w14:paraId="001000B8" w14:textId="001000B9">
      <w:pPr>
        <w:spacing w:after="0"/>
        <w:ind w:firstLine="480"/>
      </w:pPr>
      <w:r>
        <w:rPr>
          <w:sz w:val="24"/>
        </w:rPr>
        <w:t xml:space="preserve">制度演变划分为三阶段：前过渡高覆盖期（2020-10至2024-04，184个有效周，N=6,009），包含大流行早期高覆盖子段（N=2,627，覆盖率87.8%）与2022-10起的法定强制子段（N=3,382，覆盖率93.7%），合计覆盖率91.1%；自愿过渡期（2024-05至2024-10，26个有效周，N=420，覆盖率断崖跌至54.6%）；CMS新规重制期（2024-11至2026-09，96个有效周，N=3,874，覆盖率恢复至91.8%）。</w:t>
      </w:r>
    </w:p>
    <w:p w14:paraId="001000BA" w14:textId="001000BB">
      <w:pPr>
        <w:pStyle w:val="Heading2"/>
        <w:spacing w:before="200" w:after="80"/>
      </w:pPr>
      <w:r>
        <w:rPr>
          <w:b/>
          <w:sz w:val="24"/>
        </w:rPr>
        <w:t xml:space="preserve">5.2检验一：流行初期波段的方差衰减与误差预算分解</w:t>
      </w:r>
    </w:p>
    <w:p w14:paraId="001000BC" w14:textId="001000BD">
      <w:pPr>
        <w:spacing w:after="0"/>
        <w:ind w:firstLine="480"/>
      </w:pPr>
      <w:r>
        <w:rPr>
          <w:sz w:val="24"/>
        </w:rPr>
        <w:t xml:space="preserve">在三个流感季初期上升波段（N=1,267，平均增长率1.6706）中展开回顾性阶段条件误差分析，各规模分组统计见表1。</w:t>
      </w:r>
    </w:p>
    <w:p w14:paraId="001000BE" w14:textId="001000BF">
      <w:pPr>
        <w:spacing w:before="240" w:after="80"/>
        <w:jc w:val="center"/>
      </w:pPr>
      <w:r>
        <w:rPr>
          <w:b/>
          <w:sz w:val="21"/>
        </w:rPr>
        <w:t xml:space="preserve">表1 全美流感住院流行初期波段单步预测误差随周捕获规模的分组统计</w:t>
      </w:r>
    </w:p>
    <w:tbl>
      <w:tblPr>
        <w:tblW w:w="5000" w:type="pct"/>
        <w:jc w:val="center"/>
        <w:tblBorders>
          <w:top w:val="single" w:sz="4"/>
          <w:left w:val="single" w:sz="4"/>
          <w:bottom w:val="single" w:sz="4"/>
          <w:right w:val="single" w:sz="4"/>
          <w:insideH w:val="single" w:sz="4"/>
          <w:insideV w:val="single" w:sz="4"/>
        </w:tblBorders>
      </w:tblPr>
      <w:tblGrid>
        <w:gridCol w:w="1185"/>
        <w:gridCol w:w="1185"/>
        <w:gridCol w:w="1185"/>
        <w:gridCol w:w="1185"/>
        <w:gridCol w:w="1185"/>
        <w:gridCol w:w="1185"/>
        <w:gridCol w:w="1185"/>
      </w:tblGrid>
      <w:tr>
        <w:trPr>
          <w:tblHeader/>
        </w:trPr>
        <w:tc>
          <w:p w14:paraId="001000C0" w14:textId="001000C1">
            <w:r>
              <w:t xml:space="preserve">每周有效规模D_t</w:t>
            </w:r>
          </w:p>
        </w:tc>
        <w:tc>
          <w:p w14:paraId="001000C2" w14:textId="001000C3">
            <w:r>
              <w:t xml:space="preserve">样本数N</w:t>
            </w:r>
          </w:p>
        </w:tc>
        <w:tc>
          <w:p w14:paraId="001000C4" w14:textId="001000C5">
            <w:r>
              <w:t xml:space="preserve">相对均方误差</w:t>
            </w:r>
          </w:p>
        </w:tc>
        <w:tc>
          <w:p w14:paraId="001000C6" w14:textId="001000C7">
            <w:r>
              <w:t xml:space="preserve">中位数</w:t>
            </w:r>
          </w:p>
        </w:tc>
        <w:tc>
          <w:p w14:paraId="001000C8" w14:textId="001000C9">
            <w:r>
              <w:t xml:space="preserve">普通SEM</w:t>
            </w:r>
          </w:p>
        </w:tc>
        <w:tc>
          <w:p w14:paraId="001000CA" w14:textId="001000CB">
            <w:r>
              <w:t xml:space="preserve">州聚类SE</w:t>
            </w:r>
          </w:p>
        </w:tc>
        <w:tc>
          <w:p w14:paraId="001000CC" w14:textId="001000CD">
            <w:r>
              <w:t xml:space="preserve">州聚类95%CI</w:t>
            </w:r>
          </w:p>
        </w:tc>
      </w:tr>
      <w:tr>
        <w:trPr/>
        <w:tc>
          <w:p w14:paraId="001000CE" w14:textId="001000CF">
            <w:r>
              <w:t xml:space="preserve">[5,20)</w:t>
            </w:r>
          </w:p>
        </w:tc>
        <w:tc>
          <w:p w14:paraId="001000D0" w14:textId="001000D1">
            <w:r>
              <w:t xml:space="preserve">319</w:t>
            </w:r>
          </w:p>
        </w:tc>
        <w:tc>
          <w:p w14:paraId="001000D2" w14:textId="001000D3">
            <w:r>
              <w:t xml:space="preserve">0.3292</w:t>
            </w:r>
          </w:p>
        </w:tc>
        <w:tc>
          <w:p w14:paraId="001000D4" w14:textId="001000D5">
            <w:r>
              <w:t xml:space="preserve">0.0969</w:t>
            </w:r>
          </w:p>
        </w:tc>
        <w:tc>
          <w:p w14:paraId="001000D6" w14:textId="001000D7">
            <w:r>
              <w:t xml:space="preserve">0.0425</w:t>
            </w:r>
          </w:p>
        </w:tc>
        <w:tc>
          <w:p w14:paraId="001000D8" w14:textId="001000D9">
            <w:r>
              <w:t xml:space="preserve">0.0437</w:t>
            </w:r>
          </w:p>
        </w:tc>
        <w:tc>
          <w:p w14:paraId="001000DA" w14:textId="001000DB">
            <w:r>
              <w:t xml:space="preserve">[0.2435,0.4149]</w:t>
            </w:r>
          </w:p>
        </w:tc>
      </w:tr>
      <w:tr>
        <w:trPr/>
        <w:tc>
          <w:p w14:paraId="001000DC" w14:textId="001000DD">
            <w:r>
              <w:t xml:space="preserve">[20,50)</w:t>
            </w:r>
          </w:p>
        </w:tc>
        <w:tc>
          <w:p w14:paraId="001000DE" w14:textId="001000DF">
            <w:r>
              <w:t xml:space="preserve">297</w:t>
            </w:r>
          </w:p>
        </w:tc>
        <w:tc>
          <w:p w14:paraId="001000E0" w14:textId="001000E1">
            <w:r>
              <w:t xml:space="preserve">0.1605</w:t>
            </w:r>
          </w:p>
        </w:tc>
        <w:tc>
          <w:p w14:paraId="001000E2" w14:textId="001000E3">
            <w:r>
              <w:t xml:space="preserve">0.0596</w:t>
            </w:r>
          </w:p>
        </w:tc>
        <w:tc>
          <w:p w14:paraId="001000E4" w14:textId="001000E5">
            <w:r>
              <w:t xml:space="preserve">0.0169</w:t>
            </w:r>
          </w:p>
        </w:tc>
        <w:tc>
          <w:p w14:paraId="001000E6" w14:textId="001000E7">
            <w:r>
              <w:t xml:space="preserve">0.0189</w:t>
            </w:r>
          </w:p>
        </w:tc>
        <w:tc>
          <w:p w14:paraId="001000E8" w14:textId="001000E9">
            <w:r>
              <w:t xml:space="preserve">[0.1235,0.1974]</w:t>
            </w:r>
          </w:p>
        </w:tc>
      </w:tr>
      <w:tr>
        <w:trPr/>
        <w:tc>
          <w:p w14:paraId="001000EA" w14:textId="001000EB">
            <w:r>
              <w:t xml:space="preserve">[50,100)</w:t>
            </w:r>
          </w:p>
        </w:tc>
        <w:tc>
          <w:p w14:paraId="001000EC" w14:textId="001000ED">
            <w:r>
              <w:t xml:space="preserve">187</w:t>
            </w:r>
          </w:p>
        </w:tc>
        <w:tc>
          <w:p w14:paraId="001000EE" w14:textId="001000EF">
            <w:r>
              <w:t xml:space="preserve">0.1446</w:t>
            </w:r>
          </w:p>
        </w:tc>
        <w:tc>
          <w:p w14:paraId="001000F0" w14:textId="001000F1">
            <w:r>
              <w:t xml:space="preserve">0.0483</w:t>
            </w:r>
          </w:p>
        </w:tc>
        <w:tc>
          <w:p w14:paraId="001000F2" w14:textId="001000F3">
            <w:r>
              <w:t xml:space="preserve">0.0194</w:t>
            </w:r>
          </w:p>
        </w:tc>
        <w:tc>
          <w:p w14:paraId="001000F4" w14:textId="001000F5">
            <w:r>
              <w:t xml:space="preserve">0.0198</w:t>
            </w:r>
          </w:p>
        </w:tc>
        <w:tc>
          <w:p w14:paraId="001000F6" w14:textId="001000F7">
            <w:r>
              <w:t xml:space="preserve">[0.1057,0.1835]</w:t>
            </w:r>
          </w:p>
        </w:tc>
      </w:tr>
      <w:tr>
        <w:trPr/>
        <w:tc>
          <w:p w14:paraId="001000F8" w14:textId="001000F9">
            <w:r>
              <w:t xml:space="preserve">[100,250)</w:t>
            </w:r>
          </w:p>
        </w:tc>
        <w:tc>
          <w:p w14:paraId="001000FA" w14:textId="001000FB">
            <w:r>
              <w:t xml:space="preserve">220</w:t>
            </w:r>
          </w:p>
        </w:tc>
        <w:tc>
          <w:p w14:paraId="001000FC" w14:textId="001000FD">
            <w:r>
              <w:t xml:space="preserve">0.1118</w:t>
            </w:r>
          </w:p>
        </w:tc>
        <w:tc>
          <w:p w14:paraId="001000FE" w14:textId="001000FF">
            <w:r>
              <w:t xml:space="preserve">0.0545</w:t>
            </w:r>
          </w:p>
        </w:tc>
        <w:tc>
          <w:p w14:paraId="00100100" w14:textId="00100101">
            <w:r>
              <w:t xml:space="preserve">0.0110</w:t>
            </w:r>
          </w:p>
        </w:tc>
        <w:tc>
          <w:p w14:paraId="00100102" w14:textId="00100103">
            <w:r>
              <w:t xml:space="preserve">0.0114</w:t>
            </w:r>
          </w:p>
        </w:tc>
        <w:tc>
          <w:p w14:paraId="00100104" w14:textId="00100105">
            <w:r>
              <w:t xml:space="preserve">[0.0895,0.1341]</w:t>
            </w:r>
          </w:p>
        </w:tc>
      </w:tr>
      <w:tr>
        <w:trPr/>
        <w:tc>
          <w:p w14:paraId="00100106" w14:textId="00100107">
            <w:r>
              <w:t xml:space="preserve">[250,600)</w:t>
            </w:r>
          </w:p>
        </w:tc>
        <w:tc>
          <w:p w14:paraId="00100108" w14:textId="00100109">
            <w:r>
              <w:t xml:space="preserve">152</w:t>
            </w:r>
          </w:p>
        </w:tc>
        <w:tc>
          <w:p w14:paraId="0010010A" w14:textId="0010010B">
            <w:r>
              <w:t xml:space="preserve">0.1032</w:t>
            </w:r>
          </w:p>
        </w:tc>
        <w:tc>
          <w:p w14:paraId="0010010C" w14:textId="0010010D">
            <w:r>
              <w:t xml:space="preserve">0.0460</w:t>
            </w:r>
          </w:p>
        </w:tc>
        <w:tc>
          <w:p w14:paraId="0010010E" w14:textId="0010010F">
            <w:r>
              <w:t xml:space="preserve">0.0097</w:t>
            </w:r>
          </w:p>
        </w:tc>
        <w:tc>
          <w:p w14:paraId="00100110" w14:textId="00100111">
            <w:r>
              <w:t xml:space="preserve">0.0133</w:t>
            </w:r>
          </w:p>
        </w:tc>
        <w:tc>
          <w:p w14:paraId="00100112" w14:textId="00100113">
            <w:r>
              <w:t xml:space="preserve">[0.0771,0.1293]</w:t>
            </w:r>
          </w:p>
        </w:tc>
      </w:tr>
      <w:tr>
        <w:trPr/>
        <w:tc>
          <w:p w14:paraId="00100114" w14:textId="00100115">
            <w:r>
              <w:t xml:space="preserve">[600,5000)</w:t>
            </w:r>
          </w:p>
        </w:tc>
        <w:tc>
          <w:p w14:paraId="00100116" w14:textId="00100117">
            <w:r>
              <w:t xml:space="preserve">92</w:t>
            </w:r>
          </w:p>
        </w:tc>
        <w:tc>
          <w:p w14:paraId="00100118" w14:textId="00100119">
            <w:r>
              <w:t xml:space="preserve">0.1054</w:t>
            </w:r>
          </w:p>
        </w:tc>
        <w:tc>
          <w:p w14:paraId="0010011A" w14:textId="0010011B">
            <w:r>
              <w:t xml:space="preserve">0.0735</w:t>
            </w:r>
          </w:p>
        </w:tc>
        <w:tc>
          <w:p w14:paraId="0010011C" w14:textId="0010011D">
            <w:r>
              <w:t xml:space="preserve">0.0109</w:t>
            </w:r>
          </w:p>
        </w:tc>
        <w:tc>
          <w:p w14:paraId="0010011E" w14:textId="0010011F">
            <w:r>
              <w:t xml:space="preserve">0.0146</w:t>
            </w:r>
          </w:p>
        </w:tc>
        <w:tc>
          <w:p w14:paraId="00100120" w14:textId="00100121">
            <w:r>
              <w:t xml:space="preserve">[0.0769,0.1340]</w:t>
            </w:r>
          </w:p>
        </w:tc>
      </w:tr>
    </w:tbl>
    <w:p w14:paraId="00100122" w14:textId="00100123">
      <w:pPr>
        <w:spacing w:after="0"/>
        <w:ind w:firstLine="480"/>
      </w:pPr>
      <w:r>
        <w:rPr>
          <w:sz w:val="24"/>
        </w:rPr>
        <w:t xml:space="preserve">FGLS仿射拟合给出规模斜率b=2.2434（聚类bootstrap 95% CI [1.5019, 3.0161]，排除零点），与规模无关经验损失截距a=0.0991，经验交叉点m_×^emp=b/a=22.6例/周（十分位拟合为22.6；截尾1%后移至10.6，属量级估计）。</w:t>
      </w:r>
    </w:p>
    <w:p w14:paraId="00100124" w14:textId="00100125">
      <w:pPr>
        <w:spacing w:after="0"/>
        <w:ind w:firstLine="480"/>
      </w:pPr>
      <w:r>
        <w:rPr>
          <w:sz w:val="24"/>
        </w:rPr>
        <w:t xml:space="preserve">误差预算分解显示：初期平均相对均方误差0.181中，与规模无关拟合项贡献54.6%，规模相关项贡献45.1%。作为对照，样本内已实现的大规模观测（D_t≥250，共244个观测）平均相对误差为0.104，与拟合截距0.0991高度吻合，约为全体平均的六成。事前滚动起点核验（扩张窗与26周池）下规模项均显著为正，证实规模效应的方向在事前信息集下依然保持。</w:t>
      </w:r>
    </w:p>
    <w:p w14:paraId="00100126" w14:textId="00100127">
      <w:pPr>
        <w:pStyle w:val="Heading2"/>
        <w:spacing w:before="200" w:after="80"/>
      </w:pPr>
      <w:r>
        <w:rPr>
          <w:b/>
          <w:sz w:val="24"/>
        </w:rPr>
        <w:t xml:space="preserve">5.3检验二：与时变更新过程及时间序列基准的竞争预测性能对照</w:t>
      </w:r>
    </w:p>
    <w:p w14:paraId="00100128" w14:textId="00100129">
      <w:pPr>
        <w:spacing w:after="0"/>
        <w:ind w:firstLine="480"/>
      </w:pPr>
      <w:r>
        <w:rPr>
          <w:sz w:val="24"/>
        </w:rPr>
        <w:t xml:space="preserve">构建基于Cori等[10]滑动窗口更新过程的时变再生数基线（1/2/3周窗）与朴素平移基准C_{t+1}=C_t展开全尺度分箱对拍，结果见表2。</w:t>
      </w:r>
    </w:p>
    <w:p w14:paraId="0010012A" w14:textId="0010012B">
      <w:pPr>
        <w:spacing w:before="240" w:after="80"/>
        <w:jc w:val="center"/>
      </w:pPr>
      <w:r>
        <w:rPr>
          <w:b/>
          <w:sz w:val="21"/>
        </w:rPr>
        <w:t xml:space="preserve">表2 不同预测基准在流行初期波段单步相对均方误差（RelMSE）的规模分箱对照</w:t>
      </w:r>
    </w:p>
    <w:tbl>
      <w:tblPr>
        <w:tblW w:w="5000" w:type="pct"/>
        <w:jc w:val="center"/>
        <w:tblBorders>
          <w:top w:val="single" w:sz="4"/>
          <w:left w:val="single" w:sz="4"/>
          <w:bottom w:val="single" w:sz="4"/>
          <w:right w:val="single" w:sz="4"/>
          <w:insideH w:val="single" w:sz="4"/>
          <w:insideV w:val="single" w:sz="4"/>
        </w:tblBorders>
      </w:tblPr>
      <w:tblGrid>
        <w:gridCol w:w="1383"/>
        <w:gridCol w:w="1383"/>
        <w:gridCol w:w="1383"/>
        <w:gridCol w:w="1383"/>
        <w:gridCol w:w="1383"/>
        <w:gridCol w:w="1383"/>
      </w:tblGrid>
      <w:tr>
        <w:trPr>
          <w:tblHeader/>
        </w:trPr>
        <w:tc>
          <w:p w14:paraId="0010012C" w14:textId="0010012D">
            <w:r>
              <w:t xml:space="preserve">每周有效规模D_t</w:t>
            </w:r>
          </w:p>
        </w:tc>
        <w:tc>
          <w:p w14:paraId="0010012E" w14:textId="0010012F">
            <w:r>
              <w:t xml:space="preserve">样本数N</w:t>
            </w:r>
          </w:p>
        </w:tc>
        <w:tc>
          <w:p w14:paraId="00100130" w14:textId="00100131">
            <w:r>
              <w:t xml:space="preserve">阶段均值基准</w:t>
            </w:r>
          </w:p>
        </w:tc>
        <w:tc>
          <w:p w14:paraId="00100132" w14:textId="00100133">
            <w:r>
              <w:t xml:space="preserve">Cori 2周窗基线</w:t>
            </w:r>
          </w:p>
        </w:tc>
        <w:tc>
          <w:p w14:paraId="00100134" w14:textId="00100135">
            <w:r>
              <w:t xml:space="preserve">Cori 3周窗基线</w:t>
            </w:r>
          </w:p>
        </w:tc>
        <w:tc>
          <w:p w14:paraId="00100136" w14:textId="00100137">
            <w:r>
              <w:t xml:space="preserve">朴素平移基线</w:t>
            </w:r>
          </w:p>
        </w:tc>
      </w:tr>
      <w:tr>
        <w:trPr/>
        <w:tc>
          <w:p w14:paraId="00100138" w14:textId="00100139">
            <w:r>
              <w:t xml:space="preserve">[5,20)</w:t>
            </w:r>
          </w:p>
        </w:tc>
        <w:tc>
          <w:p w14:paraId="0010013A" w14:textId="0010013B">
            <w:r>
              <w:t xml:space="preserve">319</w:t>
            </w:r>
          </w:p>
        </w:tc>
        <w:tc>
          <w:p w14:paraId="0010013C" w14:textId="0010013D">
            <w:r>
              <w:t xml:space="preserve">0.3292</w:t>
            </w:r>
          </w:p>
        </w:tc>
        <w:tc>
          <w:p w14:paraId="0010013E" w14:textId="0010013F">
            <w:r>
              <w:t xml:space="preserve">0.6576</w:t>
            </w:r>
          </w:p>
        </w:tc>
        <w:tc>
          <w:p w14:paraId="00100140" w14:textId="00100141">
            <w:r>
              <w:t xml:space="preserve">0.5606</w:t>
            </w:r>
          </w:p>
        </w:tc>
        <w:tc>
          <w:p w14:paraId="00100142" w14:textId="00100143">
            <w:r>
              <w:t xml:space="preserve">1.2563</w:t>
            </w:r>
          </w:p>
        </w:tc>
      </w:tr>
      <w:tr>
        <w:trPr/>
        <w:tc>
          <w:p w14:paraId="00100144" w14:textId="00100145">
            <w:r>
              <w:t xml:space="preserve">[20,50)</w:t>
            </w:r>
          </w:p>
        </w:tc>
        <w:tc>
          <w:p w14:paraId="00100146" w14:textId="00100147">
            <w:r>
              <w:t xml:space="preserve">297</w:t>
            </w:r>
          </w:p>
        </w:tc>
        <w:tc>
          <w:p w14:paraId="00100148" w14:textId="00100149">
            <w:r>
              <w:t xml:space="preserve">0.1605</w:t>
            </w:r>
          </w:p>
        </w:tc>
        <w:tc>
          <w:p w14:paraId="0010014A" w14:textId="0010014B">
            <w:r>
              <w:t xml:space="preserve">0.2576</w:t>
            </w:r>
          </w:p>
        </w:tc>
        <w:tc>
          <w:p w14:paraId="0010014C" w14:textId="0010014D">
            <w:r>
              <w:t xml:space="preserve">0.2288</w:t>
            </w:r>
          </w:p>
        </w:tc>
        <w:tc>
          <w:p w14:paraId="0010014E" w14:textId="0010014F">
            <w:r>
              <w:t xml:space="preserve">0.5528</w:t>
            </w:r>
          </w:p>
        </w:tc>
      </w:tr>
      <w:tr>
        <w:trPr/>
        <w:tc>
          <w:p w14:paraId="00100150" w14:textId="00100151">
            <w:r>
              <w:t xml:space="preserve">[50,100)</w:t>
            </w:r>
          </w:p>
        </w:tc>
        <w:tc>
          <w:p w14:paraId="00100152" w14:textId="00100153">
            <w:r>
              <w:t xml:space="preserve">187</w:t>
            </w:r>
          </w:p>
        </w:tc>
        <w:tc>
          <w:p w14:paraId="00100154" w14:textId="00100155">
            <w:r>
              <w:t xml:space="preserve">0.1446</w:t>
            </w:r>
          </w:p>
        </w:tc>
        <w:tc>
          <w:p w14:paraId="00100156" w14:textId="00100157">
            <w:r>
              <w:t xml:space="preserve">0.2271</w:t>
            </w:r>
          </w:p>
        </w:tc>
        <w:tc>
          <w:p w14:paraId="00100158" w14:textId="00100159">
            <w:r>
              <w:t xml:space="preserve">0.1680</w:t>
            </w:r>
          </w:p>
        </w:tc>
        <w:tc>
          <w:p w14:paraId="0010015A" w14:textId="0010015B">
            <w:r>
              <w:t xml:space="preserve">0.5639</w:t>
            </w:r>
          </w:p>
        </w:tc>
      </w:tr>
      <w:tr>
        <w:trPr/>
        <w:tc>
          <w:p w14:paraId="0010015C" w14:textId="0010015D">
            <w:r>
              <w:t xml:space="preserve">[100,250)</w:t>
            </w:r>
          </w:p>
        </w:tc>
        <w:tc>
          <w:p w14:paraId="0010015E" w14:textId="0010015F">
            <w:r>
              <w:t xml:space="preserve">220</w:t>
            </w:r>
          </w:p>
        </w:tc>
        <w:tc>
          <w:p w14:paraId="00100160" w14:textId="00100161">
            <w:r>
              <w:t xml:space="preserve">0.1118</w:t>
            </w:r>
          </w:p>
        </w:tc>
        <w:tc>
          <w:p w14:paraId="00100162" w14:textId="00100163">
            <w:r>
              <w:t xml:space="preserve">0.0903</w:t>
            </w:r>
          </w:p>
        </w:tc>
        <w:tc>
          <w:p w14:paraId="00100164" w14:textId="00100165">
            <w:r>
              <w:t xml:space="preserve">0.0870</w:t>
            </w:r>
          </w:p>
        </w:tc>
        <w:tc>
          <w:p w14:paraId="00100166" w14:textId="00100167">
            <w:r>
              <w:t xml:space="preserve">0.3999</w:t>
            </w:r>
          </w:p>
        </w:tc>
      </w:tr>
      <w:tr>
        <w:trPr/>
        <w:tc>
          <w:p w14:paraId="00100168" w14:textId="00100169">
            <w:r>
              <w:t xml:space="preserve">[250,600)</w:t>
            </w:r>
          </w:p>
        </w:tc>
        <w:tc>
          <w:p w14:paraId="0010016A" w14:textId="0010016B">
            <w:r>
              <w:t xml:space="preserve">152</w:t>
            </w:r>
          </w:p>
        </w:tc>
        <w:tc>
          <w:p w14:paraId="0010016C" w14:textId="0010016D">
            <w:r>
              <w:t xml:space="preserve">0.1032</w:t>
            </w:r>
          </w:p>
        </w:tc>
        <w:tc>
          <w:p w14:paraId="0010016E" w14:textId="0010016F">
            <w:r>
              <w:t xml:space="preserve">0.0975</w:t>
            </w:r>
          </w:p>
        </w:tc>
        <w:tc>
          <w:p w14:paraId="00100170" w14:textId="00100171">
            <w:r>
              <w:t xml:space="preserve">0.0903</w:t>
            </w:r>
          </w:p>
        </w:tc>
        <w:tc>
          <w:p w14:paraId="00100172" w14:textId="00100173">
            <w:r>
              <w:t xml:space="preserve">0.2356</w:t>
            </w:r>
          </w:p>
        </w:tc>
      </w:tr>
      <w:tr>
        <w:trPr/>
        <w:tc>
          <w:p w14:paraId="00100174" w14:textId="00100175">
            <w:r>
              <w:t xml:space="preserve">[600,5000)</w:t>
            </w:r>
          </w:p>
        </w:tc>
        <w:tc>
          <w:p w14:paraId="00100176" w14:textId="00100177">
            <w:r>
              <w:t xml:space="preserve">92</w:t>
            </w:r>
          </w:p>
        </w:tc>
        <w:tc>
          <w:p w14:paraId="00100178" w14:textId="00100179">
            <w:r>
              <w:t xml:space="preserve">0.1054</w:t>
            </w:r>
          </w:p>
        </w:tc>
        <w:tc>
          <w:p w14:paraId="0010017A" w14:textId="0010017B">
            <w:r>
              <w:t xml:space="preserve">0.0983</w:t>
            </w:r>
          </w:p>
        </w:tc>
        <w:tc>
          <w:p w14:paraId="0010017C" w14:textId="0010017D">
            <w:r>
              <w:t xml:space="preserve">0.0982</w:t>
            </w:r>
          </w:p>
        </w:tc>
        <w:tc>
          <w:p w14:paraId="0010017E" w14:textId="0010017F">
            <w:r>
              <w:t xml:space="preserve">0.1360</w:t>
            </w:r>
          </w:p>
        </w:tc>
      </w:tr>
      <w:tr>
        <w:trPr/>
        <w:tc>
          <w:p w14:paraId="00100180" w14:textId="00100181">
            <w:r>
              <w:t xml:space="preserve">全体样本均值</w:t>
            </w:r>
          </w:p>
        </w:tc>
        <w:tc>
          <w:p w14:paraId="00100182" w14:textId="00100183">
            <w:r>
              <w:t xml:space="preserve">1267</w:t>
            </w:r>
          </w:p>
        </w:tc>
        <w:tc>
          <w:p w14:paraId="00100184" w14:textId="00100185">
            <w:r>
              <w:t xml:space="preserve">0.1813</w:t>
            </w:r>
          </w:p>
        </w:tc>
        <w:tc>
          <w:p w14:paraId="00100186" w14:textId="00100187">
            <w:r>
              <w:t xml:space="preserve">0.2876</w:t>
            </w:r>
          </w:p>
        </w:tc>
        <w:tc>
          <w:p w14:paraId="00100188" w14:textId="00100189">
            <w:r>
              <w:t xml:space="preserve">0.2490</w:t>
            </w:r>
          </w:p>
        </w:tc>
        <w:tc>
          <w:p w14:paraId="0010018A" w14:textId="0010018B">
            <w:r>
              <w:t xml:space="preserve">0.6367</w:t>
            </w:r>
          </w:p>
        </w:tc>
      </w:tr>
      <w:tr>
        <w:trPr/>
        <w:tc>
          <w:p w14:paraId="0010018C" w14:textId="0010018D">
            <w:r>
              <w:t xml:space="preserve">全体样本中位数</w:t>
            </w:r>
          </w:p>
        </w:tc>
        <w:tc>
          <w:p w14:paraId="0010018E" w14:textId="0010018F">
            <w:r>
              <w:t xml:space="preserve">1267</w:t>
            </w:r>
          </w:p>
        </w:tc>
        <w:tc>
          <w:p w14:paraId="00100190" w14:textId="00100191">
            <w:r>
              <w:t xml:space="preserve">0.0653</w:t>
            </w:r>
          </w:p>
        </w:tc>
        <w:tc>
          <w:p w14:paraId="00100192" w14:textId="00100193">
            <w:r>
              <w:t xml:space="preserve">0.0658</w:t>
            </w:r>
          </w:p>
        </w:tc>
        <w:tc>
          <w:p w14:paraId="00100194" w14:textId="00100195">
            <w:r>
              <w:t xml:space="preserve">0.0626</w:t>
            </w:r>
          </w:p>
        </w:tc>
        <w:tc>
          <w:p w14:paraId="00100196" w14:textId="00100197">
            <w:r>
              <w:t xml:space="preserve">0.1732</w:t>
            </w:r>
          </w:p>
        </w:tc>
      </w:tr>
    </w:tbl>
    <w:p w14:paraId="00100198" w14:textId="00100199">
      <w:pPr>
        <w:spacing w:after="0"/>
        <w:ind w:firstLine="480"/>
      </w:pPr>
      <w:r>
        <w:rPr>
          <w:sz w:val="24"/>
        </w:rPr>
        <w:t xml:space="preserve">表2表明：在所有更新过程基准中，预测误差在D_t≤100内随每周病例规模快速下降，越过百例后趋于平缓（约0.087–0.098），进入收益放缓的经验底板平台；在大规模段（D_t≥100），Cori 2周窗基准误差降至0.0903（略低于常数阶段均值在[250,600)箱的0.1032和[100,250)箱的0.1118），展现了时变参数适应局部转折的优势；仿射拟合给出b=6.0637（m_×=74.7）。无论采用常数基准还是时变更新基准，误差均随病例规模呈现递减形态并在大规模段趋缓，而具体点位取决于基准构造。</w:t>
      </w:r>
    </w:p>
    <w:p w14:paraId="0010019A" w14:textId="0010019B">
      <w:pPr>
        <w:pStyle w:val="Heading2"/>
        <w:spacing w:before="200" w:after="80"/>
      </w:pPr>
      <w:r>
        <w:rPr>
          <w:b/>
          <w:sz w:val="24"/>
        </w:rPr>
        <w:t xml:space="preserve">5.4检验三：达峰与回落期的反证边界——平稳基准破缺而非规模失效</w:t>
      </w:r>
    </w:p>
    <w:p w14:paraId="0010019C" w14:textId="0010019D">
      <w:pPr>
        <w:spacing w:after="0"/>
        <w:ind w:firstLine="480"/>
      </w:pPr>
      <w:r>
        <w:rPr>
          <w:sz w:val="24"/>
        </w:rPr>
        <w:t xml:space="preserve">以初期平稳基准预测达峰期（N=1,220）时，分组误差见表3与图4(c)。</w:t>
      </w:r>
    </w:p>
    <w:p w14:paraId="0010019E" w14:textId="0010019F">
      <w:pPr>
        <w:spacing w:before="240" w:after="80"/>
        <w:jc w:val="center"/>
      </w:pPr>
      <w:r>
        <w:rPr>
          <w:b/>
          <w:sz w:val="21"/>
        </w:rPr>
        <w:t xml:space="preserve">表3 达峰与回落期：以平稳基准预测时的分组误差</w:t>
      </w:r>
    </w:p>
    <w:tbl>
      <w:tblPr>
        <w:tblW w:w="5000" w:type="pct"/>
        <w:jc w:val="center"/>
        <w:tblBorders>
          <w:top w:val="single" w:sz="4"/>
          <w:left w:val="single" w:sz="4"/>
          <w:bottom w:val="single" w:sz="4"/>
          <w:right w:val="single" w:sz="4"/>
          <w:insideH w:val="single" w:sz="4"/>
          <w:insideV w:val="single" w:sz="4"/>
        </w:tblBorders>
      </w:tblPr>
      <w:tblGrid>
        <w:gridCol w:w="2075"/>
        <w:gridCol w:w="2075"/>
        <w:gridCol w:w="2075"/>
        <w:gridCol w:w="2075"/>
      </w:tblGrid>
      <w:tr>
        <w:trPr>
          <w:tblHeader/>
        </w:trPr>
        <w:tc>
          <w:p w14:paraId="001001A0" w14:textId="001001A1">
            <w:r>
              <w:t xml:space="preserve">每周有效规模D_t</w:t>
            </w:r>
          </w:p>
        </w:tc>
        <w:tc>
          <w:p w14:paraId="001001A2" w14:textId="001001A3">
            <w:r>
              <w:t xml:space="preserve">样本数N</w:t>
            </w:r>
          </w:p>
        </w:tc>
        <w:tc>
          <w:p w14:paraId="001001A4" w14:textId="001001A5">
            <w:r>
              <w:t xml:space="preserve">相对均方误差</w:t>
            </w:r>
          </w:p>
        </w:tc>
        <w:tc>
          <w:p w14:paraId="001001A6" w14:textId="001001A7">
            <w:r>
              <w:t xml:space="preserve">中位数</w:t>
            </w:r>
          </w:p>
        </w:tc>
      </w:tr>
      <w:tr>
        <w:trPr/>
        <w:tc>
          <w:p w14:paraId="001001A8" w14:textId="001001A9">
            <w:r>
              <w:t xml:space="preserve">[5, 20)</w:t>
            </w:r>
          </w:p>
        </w:tc>
        <w:tc>
          <w:p w14:paraId="001001AA" w14:textId="001001AB">
            <w:r>
              <w:t xml:space="preserve">33</w:t>
            </w:r>
          </w:p>
        </w:tc>
        <w:tc>
          <w:p w14:paraId="001001AC" w14:textId="001001AD">
            <w:r>
              <w:t xml:space="preserve">0.2998</w:t>
            </w:r>
          </w:p>
        </w:tc>
        <w:tc>
          <w:p w14:paraId="001001AE" w14:textId="001001AF">
            <w:r>
              <w:t xml:space="preserve">0.2361</w:t>
            </w:r>
          </w:p>
        </w:tc>
      </w:tr>
      <w:tr>
        <w:trPr/>
        <w:tc>
          <w:p w14:paraId="001001B0" w14:textId="001001B1">
            <w:r>
              <w:t xml:space="preserve">[20, 50)</w:t>
            </w:r>
          </w:p>
        </w:tc>
        <w:tc>
          <w:p w14:paraId="001001B2" w14:textId="001001B3">
            <w:r>
              <w:t xml:space="preserve">140</w:t>
            </w:r>
          </w:p>
        </w:tc>
        <w:tc>
          <w:p w14:paraId="001001B4" w14:textId="001001B5">
            <w:r>
              <w:t xml:space="preserve">0.2927</w:t>
            </w:r>
          </w:p>
        </w:tc>
        <w:tc>
          <w:p w14:paraId="001001B6" w14:textId="001001B7">
            <w:r>
              <w:t xml:space="preserve">0.2591</w:t>
            </w:r>
          </w:p>
        </w:tc>
      </w:tr>
      <w:tr>
        <w:trPr/>
        <w:tc>
          <w:p w14:paraId="001001B8" w14:textId="001001B9">
            <w:r>
              <w:t xml:space="preserve">[50, 100)</w:t>
            </w:r>
          </w:p>
        </w:tc>
        <w:tc>
          <w:p w14:paraId="001001BA" w14:textId="001001BB">
            <w:r>
              <w:t xml:space="preserve">162</w:t>
            </w:r>
          </w:p>
        </w:tc>
        <w:tc>
          <w:p w14:paraId="001001BC" w14:textId="001001BD">
            <w:r>
              <w:t xml:space="preserve">0.3120</w:t>
            </w:r>
          </w:p>
        </w:tc>
        <w:tc>
          <w:p w14:paraId="001001BE" w14:textId="001001BF">
            <w:r>
              <w:t xml:space="preserve">0.3085</w:t>
            </w:r>
          </w:p>
        </w:tc>
      </w:tr>
      <w:tr>
        <w:trPr/>
        <w:tc>
          <w:p w14:paraId="001001C0" w14:textId="001001C1">
            <w:r>
              <w:t xml:space="preserve">[100, 250)</w:t>
            </w:r>
          </w:p>
        </w:tc>
        <w:tc>
          <w:p w14:paraId="001001C2" w14:textId="001001C3">
            <w:r>
              <w:t xml:space="preserve">312</w:t>
            </w:r>
          </w:p>
        </w:tc>
        <w:tc>
          <w:p w14:paraId="001001C4" w14:textId="001001C5">
            <w:r>
              <w:t xml:space="preserve">0.3049</w:t>
            </w:r>
          </w:p>
        </w:tc>
        <w:tc>
          <w:p w14:paraId="001001C6" w14:textId="001001C7">
            <w:r>
              <w:t xml:space="preserve">0.3005</w:t>
            </w:r>
          </w:p>
        </w:tc>
      </w:tr>
      <w:tr>
        <w:trPr/>
        <w:tc>
          <w:p w14:paraId="001001C8" w14:textId="001001C9">
            <w:r>
              <w:t xml:space="preserve">[250, 600)</w:t>
            </w:r>
          </w:p>
        </w:tc>
        <w:tc>
          <w:p w14:paraId="001001CA" w14:textId="001001CB">
            <w:r>
              <w:t xml:space="preserve">311</w:t>
            </w:r>
          </w:p>
        </w:tc>
        <w:tc>
          <w:p w14:paraId="001001CC" w14:textId="001001CD">
            <w:r>
              <w:t xml:space="preserve">0.2998</w:t>
            </w:r>
          </w:p>
        </w:tc>
        <w:tc>
          <w:p w14:paraId="001001CE" w14:textId="001001CF">
            <w:r>
              <w:t xml:space="preserve">0.2976</w:t>
            </w:r>
          </w:p>
        </w:tc>
      </w:tr>
      <w:tr>
        <w:trPr/>
        <w:tc>
          <w:p w14:paraId="001001D0" w14:textId="001001D1">
            <w:r>
              <w:t xml:space="preserve">[600, 5000)</w:t>
            </w:r>
          </w:p>
        </w:tc>
        <w:tc>
          <w:p w14:paraId="001001D2" w14:textId="001001D3">
            <w:r>
              <w:t xml:space="preserve">262</w:t>
            </w:r>
          </w:p>
        </w:tc>
        <w:tc>
          <w:p w14:paraId="001001D4" w14:textId="001001D5">
            <w:r>
              <w:t xml:space="preserve">0.2916</w:t>
            </w:r>
          </w:p>
        </w:tc>
        <w:tc>
          <w:p w14:paraId="001001D6" w14:textId="001001D7">
            <w:r>
              <w:t xml:space="preserve">0.2987</w:t>
            </w:r>
          </w:p>
        </w:tc>
      </w:tr>
    </w:tbl>
    <w:p w14:paraId="001001D8" w14:textId="001001D9">
      <w:pPr>
        <w:spacing w:after="0"/>
        <w:ind w:firstLine="480"/>
      </w:pPr>
      <w:r>
        <w:rPr>
          <w:sz w:val="24"/>
        </w:rPr>
        <w:t xml:space="preserve">看似平坦的0.292–0.312误差平台中，实测总体88.9%由基准常数偏移贡献（各箱占比59.5%–94.8%不等）。改用达峰期自身基准后，仿射拟合给出b=7.9272显著为正。统一损失尺度后的三口径比较见表4。</w:t>
      </w:r>
    </w:p>
    <w:p w14:paraId="001001DA" w14:textId="001001DB">
      <w:pPr>
        <w:spacing w:before="240" w:after="80"/>
        <w:jc w:val="center"/>
      </w:pPr>
      <w:r>
        <w:rPr>
          <w:b/>
          <w:sz w:val="21"/>
        </w:rPr>
        <w:t xml:space="preserve">表4 两阶段规模相关项b的三口径比较</w:t>
      </w:r>
    </w:p>
    <w:tbl>
      <w:tblPr>
        <w:tblW w:w="5000" w:type="pct"/>
        <w:jc w:val="center"/>
        <w:tblBorders>
          <w:top w:val="single" w:sz="4"/>
          <w:left w:val="single" w:sz="4"/>
          <w:bottom w:val="single" w:sz="4"/>
          <w:right w:val="single" w:sz="4"/>
          <w:insideH w:val="single" w:sz="4"/>
          <w:insideV w:val="single" w:sz="4"/>
        </w:tblBorders>
      </w:tblPr>
      <w:tblGrid>
        <w:gridCol w:w="2075"/>
        <w:gridCol w:w="2075"/>
        <w:gridCol w:w="2075"/>
        <w:gridCol w:w="2075"/>
      </w:tblGrid>
      <w:tr>
        <w:trPr>
          <w:tblHeader/>
        </w:trPr>
        <w:tc>
          <w:p w14:paraId="001001DC" w14:textId="001001DD">
            <w:r>
              <w:t xml:space="preserve">损失口径</w:t>
            </w:r>
          </w:p>
        </w:tc>
        <w:tc>
          <w:p w14:paraId="001001DE" w14:textId="001001DF">
            <w:r>
              <w:t xml:space="preserve">初期b</w:t>
            </w:r>
          </w:p>
        </w:tc>
        <w:tc>
          <w:p w14:paraId="001001E0" w14:textId="001001E1">
            <w:r>
              <w:t xml:space="preserve">达峰期b</w:t>
            </w:r>
          </w:p>
        </w:tc>
        <w:tc>
          <w:p w14:paraId="001001E2" w14:textId="001001E3">
            <w:r>
              <w:t xml:space="preserve">回答的问题</w:t>
            </w:r>
          </w:p>
        </w:tc>
      </w:tr>
      <w:tr>
        <w:trPr/>
        <w:tc>
          <w:p w14:paraId="001001E4" w14:textId="001001E5">
            <w:r>
              <w:t xml:space="preserve">未归一化损失</w:t>
            </w:r>
          </w:p>
        </w:tc>
        <w:tc>
          <w:p w14:paraId="001001E6" w14:textId="001001E7">
            <w:r>
              <w:t xml:space="preserve">6.2611</w:t>
            </w:r>
          </w:p>
        </w:tc>
        <w:tc>
          <w:p w14:paraId="001001E8" w14:textId="001001E9">
            <w:r>
              <w:t xml:space="preserve">5.1690</w:t>
            </w:r>
          </w:p>
        </w:tc>
        <w:tc>
          <w:p w14:paraId="001001EA" w14:textId="001001EB">
            <w:r>
              <w:t xml:space="preserve">增长代理的绝对误差规模</w:t>
            </w:r>
          </w:p>
        </w:tc>
      </w:tr>
      <w:tr>
        <w:trPr/>
        <w:tc>
          <w:p w14:paraId="001001EC" w14:textId="001001ED">
            <w:r>
              <w:t xml:space="preserve">共同分母归一化</w:t>
            </w:r>
          </w:p>
        </w:tc>
        <w:tc>
          <w:p w14:paraId="001001EE" w14:textId="001001EF">
            <w:r>
              <w:t xml:space="preserve">2.2434</w:t>
            </w:r>
          </w:p>
        </w:tc>
        <w:tc>
          <w:p w14:paraId="001001F0" w14:textId="001001F1">
            <w:r>
              <w:t xml:space="preserve">1.8521</w:t>
            </w:r>
          </w:p>
        </w:tc>
        <w:tc>
          <w:p w14:paraId="001001F2" w14:textId="001001F3">
            <w:r>
              <w:t xml:space="preserve">同一相对尺度下的阶段差异</w:t>
            </w:r>
          </w:p>
        </w:tc>
      </w:tr>
      <w:tr>
        <w:trPr/>
        <w:tc>
          <w:p w14:paraId="001001F4" w14:textId="001001F5">
            <w:r>
              <w:t xml:space="preserve">各阶段均值归一化</w:t>
            </w:r>
          </w:p>
        </w:tc>
        <w:tc>
          <w:p w14:paraId="001001F6" w14:textId="001001F7">
            <w:r>
              <w:t xml:space="preserve">2.2434</w:t>
            </w:r>
          </w:p>
        </w:tc>
        <w:tc>
          <w:p w14:paraId="001001F8" w14:textId="001001F9">
            <w:r>
              <w:t xml:space="preserve">7.9272</w:t>
            </w:r>
          </w:p>
        </w:tc>
        <w:tc>
          <w:p w14:paraId="001001FA" w14:textId="001001FB">
            <w:r>
              <w:t xml:space="preserve">各阶段相对自身基准的误差</w:t>
            </w:r>
          </w:p>
        </w:tc>
      </w:tr>
    </w:tbl>
    <w:p w14:paraId="001001FC" w14:textId="001001FD">
      <w:pPr>
        <w:spacing w:after="0"/>
        <w:ind w:firstLine="480"/>
      </w:pPr>
      <w:r>
        <w:rPr>
          <w:sz w:val="24"/>
        </w:rPr>
        <w:t xml:space="preserve">表4显示：统一尺度后达峰期斜率点估计（1.8521）低于初期，联合交互项（-0.9183，按州聚类bootstrap 95%CI为[-2.33, 0.59]）包含零点且未达统计显著；结合达峰期总体样本中基准偏移项占总损失88.9%的分解证据，表明达峰期预测误差居高不下主要源于跨期平稳性假设失效，而非病例规模项丧失边际贡献。</w:t>
      </w:r>
    </w:p>
    <w:p w14:paraId="001001FE" w14:textId="001001FF">
      <w:pPr>
        <w:spacing w:before="240" w:after="40"/>
        <w:jc w:val="center"/>
      </w:pPr>
      <w:r>
        <w:drawing>
          <wp:inline distT="0" distB="0" distL="0" distR="0">
            <wp:extent cx="5303520" cy="3875596"/>
            <wp:effectExtent l="0" t="0" r="0" b="0"/>
            <wp:docPr id="4" name="图4 全美CDC NHSN流感住院真实监测数据实证与反证检验" descr="图4 全美CDC NHSN流感住院真实监测数据实证与反证检验"/>
            <wp:cNvGraphicFramePr>
              <a:graphicFrameLocks noChangeAspect="1"/>
            </wp:cNvGraphicFramePr>
            <a:graphic>
              <a:graphicData uri="http://schemas.openxmlformats.org/drawingml/2006/picture">
                <pic:pic>
                  <pic:nvPicPr>
                    <pic:cNvPr id="4" name="图4 全美CDC NHSN流感住院真实监测数据实证与反证检验"/>
                    <pic:cNvPicPr/>
                  </pic:nvPicPr>
                  <pic:blipFill>
                    <a:blip r:embed="Rb31d6ca15eb64579" cstate="print"/>
                    <a:stretch>
                      <a:fillRect/>
                    </a:stretch>
                  </pic:blipFill>
                  <pic:spPr>
                    <a:xfrm>
                      <a:off x="0" y="0"/>
                      <a:ext cx="5303520" cy="3875596"/>
                    </a:xfrm>
                    <a:prstGeom prst="rect">
                      <a:avLst/>
                    </a:prstGeom>
                  </pic:spPr>
                </pic:pic>
              </a:graphicData>
            </a:graphic>
          </wp:inline>
        </w:drawing>
      </w:r>
    </w:p>
    <w:p w14:paraId="00100200" w14:textId="00100201">
      <w:pPr>
        <w:spacing w:before="40" w:after="240"/>
        <w:jc w:val="center"/>
      </w:pPr>
      <w:r>
        <w:rPr>
          <w:b/>
          <w:sz w:val="21"/>
        </w:rPr>
        <w:t xml:space="preserve">图4 全美CDC NHSN流感住院真实监测数据实证与反证检验</w:t>
      </w:r>
    </w:p>
    <w:p w14:paraId="00100202" w14:textId="00100203">
      <w:pPr>
        <w:pStyle w:val="Heading2"/>
        <w:spacing w:before="200" w:after="80"/>
      </w:pPr>
      <w:r>
        <w:rPr>
          <w:b/>
          <w:sz w:val="24"/>
        </w:rPr>
        <w:t xml:space="preserve">5.5检验四：变量误差敏感性检验与分季独立2SLS工具变量估计</w:t>
      </w:r>
    </w:p>
    <w:p w14:paraId="00100204" w14:textId="00100205">
      <w:pPr>
        <w:spacing w:after="0"/>
        <w:ind w:firstLine="480"/>
      </w:pPr>
      <w:r>
        <w:rPr>
          <w:sz w:val="24"/>
        </w:rPr>
        <w:t xml:space="preserve">以滞后3–5周输入核为工具变量开展2SLS回归：汇集样本中第一阶段稳健F=312.9，第二阶段差值(b_iv - b_ols)=1.3921，10,000次聚类bootstrap 95%CI为[0.43, 2.41]（bootstrap单侧比例0.0014，排除零点），表明汇集样本下2SLS估计斜率高于OLS。分季独立检验中，各季节第一阶段稳健F均在75以上（强工具），b_iv均显著为正（2022–23季3.2787, 2023–24季2.1867, 2024–25季3.6131），差值在2024–25季表现为临界为正（[0.01, 3.47]）。鉴于排除限制难以在理论上绝对保证，该对照定位为说明变量误差不改变规模效应正向存在的稳健性对照。在唯象示例参数设定下导出理论交叉点约 21–49 例（m_×≈21.3–49.3，基于Zhou等[35]住院负担点估计与Tokars等[38]侵袭率折算每例有症状感染住院比例ρ∈[0.0056, 0.021]）；未归一化绝对方差水平上规模无关项与相关项（约0.28与6.3）高于纯理论设定，但比值与理论交叉点数量级相容，重在比值形态一致性。</w:t>
      </w:r>
    </w:p>
    <w:p w14:paraId="00100206" w14:textId="00100207">
      <w:pPr>
        <w:pStyle w:val="Heading2"/>
        <w:spacing w:before="200" w:after="80"/>
      </w:pPr>
      <w:r>
        <w:rPr>
          <w:b/>
          <w:sz w:val="24"/>
        </w:rPr>
        <w:t xml:space="preserve">5.6检验五：报告政策切换冲击的尾部放大效应与空间加总权衡</w:t>
      </w:r>
    </w:p>
    <w:p w14:paraId="00100208" w14:textId="00100209">
      <w:pPr>
        <w:spacing w:after="0"/>
        <w:ind w:firstLine="480"/>
      </w:pPr>
      <w:r>
        <w:rPr>
          <w:sz w:val="24"/>
        </w:rPr>
        <w:t xml:space="preserve">自愿填报期标准差由法定强制子段的0.620跃升至1.823（扩张194%），偏度由3.45暴增至14.98，但主体IQR与MAD保持稳定（图4d对数轴箱线图），与二项抽稀机制放大右尾的理论方向相容；鉴于覆盖率不等同于事件级抽样概率且自愿期与夏季低发期重叠，定位为相容的描述性证据。全美加总序列相对误差降至0.0348（约为单州平台的三分之一），展示了国家层面空间汇聚与属地化预警之间的权衡边界。</w:t>
      </w:r>
    </w:p>
    <w:p w14:paraId="0010020A" w14:textId="0010020B">
      <w:pPr>
        <w:pStyle w:val="Heading1"/>
        <w:spacing w:before="280" w:after="120"/>
      </w:pPr>
      <w:r>
        <w:rPr>
          <w:b/>
          <w:sz w:val="28"/>
        </w:rPr>
        <w:t xml:space="preserve">6讨论与政策启示</w:t>
      </w:r>
    </w:p>
    <w:p w14:paraId="0010020C" w14:textId="0010020D">
      <w:pPr>
        <w:pStyle w:val="Heading2"/>
        <w:spacing w:before="200" w:after="80"/>
      </w:pPr>
      <w:r>
        <w:rPr>
          <w:b/>
          <w:sz w:val="24"/>
        </w:rPr>
        <w:t xml:space="preserve">6.1机制讨论与理论对话</w:t>
      </w:r>
    </w:p>
    <w:p w14:paraId="0010020E" w14:textId="0010020F">
      <w:pPr>
        <w:spacing w:after="0"/>
        <w:ind w:firstLine="480"/>
      </w:pPr>
      <w:r>
        <w:rPr>
          <w:sz w:val="24"/>
        </w:rPr>
        <w:t xml:space="preserve">本文分析了病例规模对传染病监测推断的影响。既有前沿文献基于有效再生数推导出了Fisher信息下界随规模线性增长的标度律[9,10]，但该极限主要是针对测量当期瞬时参数R_t成立的。本文分析表明：一旦推断目标切换为消除单周共同波动的跨期基础水平R̄，共同环境随机性v_R构成了单期横截面内仅凭病例聚合无法消除的方差成分；由此导出的交叉点m_×，在方差分解的代数形式上恰对应单期信度比等于0.5的对称位置[24,25]。</w:t>
      </w:r>
    </w:p>
    <w:p w14:paraId="00100210" w14:textId="00100211">
      <w:pPr>
        <w:spacing w:after="0"/>
        <w:ind w:firstLine="480"/>
      </w:pPr>
      <w:r>
        <w:rPr>
          <w:sz w:val="24"/>
        </w:rPr>
        <w:t xml:space="preserve">在此基础上，监测杠杆的非对称性阐明了资源分配逻辑：在存在超传播的疾病中，提升报告率ρ存在单期饱和下界，唯有扩大基数n才能压制子代抽样波动。而在时间序列演化中，达峰期实证表明所谓“样本量失效”实为平稳性假设失效；当剥离均值漂移后，规模项依然发挥方差削减效应。这提示决策者在初期关注病例捕获以越过交叉点，而在达峰拐点则应迅速引入非平稳状态空间滤波或行为协变量。</w:t>
      </w:r>
    </w:p>
    <w:p w14:paraId="00100212" w14:textId="00100213">
      <w:pPr>
        <w:pStyle w:val="Heading2"/>
        <w:spacing w:before="200" w:after="80"/>
      </w:pPr>
      <w:r>
        <w:rPr>
          <w:b/>
          <w:sz w:val="24"/>
        </w:rPr>
        <w:t xml:space="preserve">6.2研究局限与审慎边界</w:t>
      </w:r>
    </w:p>
    <w:p w14:paraId="00100214" w14:textId="00100215">
      <w:pPr>
        <w:spacing w:after="0"/>
        <w:ind w:firstLine="480"/>
      </w:pPr>
      <w:r>
        <w:rPr>
          <w:sz w:val="24"/>
        </w:rPr>
        <w:t xml:space="preserve">本文对全部论断实施严格证据分层：(1)理论基准的条件性：命题1–6界定的是规范数理基准，真实时间序列中经验规模斜率相较单代参数存在时序重加权放大效应；(2)经验截距的机制类比性：截距a=0.0991同时包含未观测感染压力的代理不确定性，本文明确将其定性为经验损失下限而非环境方差的孤立识别；(3)因果推断的解释边界：自愿期覆盖率冲击与夏季低发期重叠，定位为相容的描述性证据；工具变量定位为稳健性对照。</w:t>
      </w:r>
    </w:p>
    <w:p w14:paraId="00100216" w14:textId="00100217">
      <w:pPr>
        <w:pStyle w:val="Heading2"/>
        <w:spacing w:before="200" w:after="80"/>
      </w:pPr>
      <w:r>
        <w:rPr>
          <w:b/>
          <w:sz w:val="24"/>
        </w:rPr>
        <w:t xml:space="preserve">6.3结论</w:t>
      </w:r>
    </w:p>
    <w:p w14:paraId="00100218" w14:textId="00100219">
      <w:pPr>
        <w:spacing w:after="0"/>
        <w:ind w:firstLine="480"/>
      </w:pPr>
      <w:r>
        <w:rPr>
          <w:sz w:val="24"/>
        </w:rPr>
        <w:t xml:space="preserve">本文构建了负二项分支过程与二项报告模型，分析了疫情监测中病例规模的推断收益边界。理论推导表明，推断跨期基准时存在由环境方差决定的交叉点，同时揭示了报告率与样本基数的非对称作用及成本约束下的权衡。全美 CDC NHSN 周度流感住院数据检验与该理论形态一致。结果显示规模收益真实存在但在达到数十例后明显放缓，各基准下约四至五成半（39%—55%）的误差份额落在与规模无关的拟合项上。未来可进一步结合气象行为协变量与状态空间滤波，拓展多毒株共存场景下的监测设计。</w:t>
      </w:r>
    </w:p>
    <w:p w14:paraId="0010021A" w14:textId="0010021B">
      <w:pPr>
        <w:pStyle w:val="Heading1"/>
        <w:spacing w:before="280" w:after="120"/>
      </w:pPr>
      <w:r>
        <w:rPr>
          <w:b/>
          <w:sz w:val="28"/>
        </w:rPr>
        <w:t xml:space="preserve">数据与代码可用性声明</w:t>
      </w:r>
    </w:p>
    <w:p w14:paraId="0010021C" w14:textId="0010021D">
      <w:pPr>
        <w:spacing w:after="0"/>
        <w:ind w:firstLine="480"/>
      </w:pPr>
      <w:r>
        <w:rPr>
          <w:sz w:val="24"/>
        </w:rPr>
        <w:t xml:space="preserve">本文实证所用的全美各州周度流感住院监测数据来源于美国疾病控制与预防中心国家医疗保健安全网（CDC NHSN）公开数据库[37]（目录记录标识符ua7e-t2fy），数据集访问日期为2026年9月5日，分析所用交付CSV数据文件的SHA-256校验和为：e48c2ea92e0beb552a6510b7b0c2fe7a7c9ea911cd27880169298c34de20c330。全部代码与固化数据开源共享于：https://github.com/wangchi2068/case-count-inference-bottleneck。</w:t>
      </w:r>
    </w:p>
    <w:p w14:paraId="0010021E" w14:textId="0010021F">
      <w:pPr>
        <w:pStyle w:val="Heading1"/>
        <w:spacing w:before="280" w:after="120"/>
      </w:pPr>
      <w:r>
        <w:rPr>
          <w:b/>
          <w:sz w:val="28"/>
        </w:rPr>
        <w:t xml:space="preserve">参考文献</w:t>
      </w:r>
    </w:p>
    <w:p w14:paraId="00100220" w14:textId="00100221">
      <w:pPr>
        <w:spacing w:after="60"/>
      </w:pPr>
      <w:r>
        <w:rPr>
          <w:sz w:val="21"/>
        </w:rPr>
        <w:t xml:space="preserve">[1] Lloyd-Smith James O, Schreiber Sebastian J, Kopp P Ekkehard, et al. Superspreading and the effect of individual variation on disease emergence. Nature, 2005, 438(7066): 355-359. DOI: 10.1038/nature04153.</w:t>
      </w:r>
    </w:p>
    <w:p w14:paraId="00100222" w14:textId="00100223">
      <w:pPr>
        <w:spacing w:after="60"/>
      </w:pPr>
      <w:r>
        <w:rPr>
          <w:sz w:val="21"/>
        </w:rPr>
        <w:t xml:space="preserve">[2] Endo Akira, Abbott Sam, Kucharski Adam J, et al. Estimating the overdispersion in COVID-19 transmission using outbreak sizes outside China. Wellcome Open Research, 2020, 5: 67. DOI: 10.12688/wellcomeopenres.15842.3.</w:t>
      </w:r>
    </w:p>
    <w:p w14:paraId="00100224" w14:textId="00100225">
      <w:pPr>
        <w:spacing w:after="60"/>
      </w:pPr>
      <w:r>
        <w:rPr>
          <w:sz w:val="21"/>
        </w:rPr>
        <w:t xml:space="preserve">[3] Azmon A, Faes C, Hens N. On the estimation of the reproduction number based on misreported epidemic data. Statistics in Medicine, 2014, 33(7): 1176-1192. DOI: 10.1002/sim.6015.</w:t>
      </w:r>
    </w:p>
    <w:p w14:paraId="00100226" w14:textId="00100227">
      <w:pPr>
        <w:spacing w:after="60"/>
      </w:pPr>
      <w:r>
        <w:rPr>
          <w:sz w:val="21"/>
        </w:rPr>
        <w:t xml:space="preserve">[4] Stoner Oliver, Economou Theo, Drummond Marques da Silva Gabriela. A hierarchical framework for correcting under-reporting in count data. Journal of the American Statistical Association, 2019, 114(528): 1481-1492. DOI: 10.1080/01621459.2019.1573732.</w:t>
      </w:r>
    </w:p>
    <w:p w14:paraId="00100228" w14:textId="00100229">
      <w:pPr>
        <w:spacing w:after="60"/>
      </w:pPr>
      <w:r>
        <w:rPr>
          <w:sz w:val="21"/>
        </w:rPr>
        <w:t xml:space="preserve">[5] Rasmussen David A, Ratmann Oliver, Koelle Katia. Inference for nonlinear epidemiological models using genealogies and time series. PLOS Computational Biology, 2011, 7(8): e1002136. DOI: 10.1371/journal.pcbi.1002136.</w:t>
      </w:r>
    </w:p>
    <w:p w14:paraId="0010022A" w14:textId="0010022B">
      <w:pPr>
        <w:spacing w:after="60"/>
      </w:pPr>
      <w:r>
        <w:rPr>
          <w:sz w:val="21"/>
        </w:rPr>
        <w:t xml:space="preserve">[6] Dalziel Benjamin D, Kissler Stephen, Gog Julia R, et al. Urbanization and humidity shape the intensity of influenza epidemics in U.S. cities. Science, 2018, 362(6410): 75-79. DOI: 10.1126/science.aat6030.</w:t>
      </w:r>
    </w:p>
    <w:p w14:paraId="0010022C" w14:textId="0010022D">
      <w:pPr>
        <w:spacing w:after="60"/>
      </w:pPr>
      <w:r>
        <w:rPr>
          <w:sz w:val="21"/>
        </w:rPr>
        <w:t xml:space="preserve">[7] Kucharski Adam J, Russell Timothy W, Diamond Charlie, et al. Early dynamics of transmission and control of COVID-19: a mathematical modelling study. The Lancet Infectious Diseases, 2020, 20(5): 553-558. DOI: 10.1016/S1473-3099(20)30144-4.</w:t>
      </w:r>
    </w:p>
    <w:p w14:paraId="0010022E" w14:textId="0010022F">
      <w:pPr>
        <w:spacing w:after="60"/>
      </w:pPr>
      <w:r>
        <w:rPr>
          <w:sz w:val="21"/>
        </w:rPr>
        <w:t xml:space="preserve">[8] Wallinga Jacco, Teunis Peter. Different epidemic curves for severe acute respiratory syndrome reveal similar impacts of control measures. American Journal of Epidemiology, 2004, 160(6): 509-516. DOI: 10.1093/aje/kwh255.</w:t>
      </w:r>
    </w:p>
    <w:p w14:paraId="00100230" w14:textId="00100231">
      <w:pPr>
        <w:spacing w:after="60"/>
      </w:pPr>
      <w:r>
        <w:rPr>
          <w:sz w:val="21"/>
        </w:rPr>
        <w:t xml:space="preserve">[9] Fraser Christophe. Estimating individual and household reproduction numbers in an emerging epidemic. PLOS ONE, 2007, 2(8): e758. DOI: 10.1371/journal.pone.0000758.</w:t>
      </w:r>
    </w:p>
    <w:p w14:paraId="00100232" w14:textId="00100233">
      <w:pPr>
        <w:spacing w:after="60"/>
      </w:pPr>
      <w:r>
        <w:rPr>
          <w:sz w:val="21"/>
        </w:rPr>
        <w:t xml:space="preserve">[10] Cori Anne, Ferguson Neil M, Fraser Christophe, et al. A new framework and software to estimate time-varying reproduction numbers during epidemics. American Journal of Epidemiology, 2013, 178(9): 1505-1512. DOI: 10.1093/aje/kwt133.</w:t>
      </w:r>
    </w:p>
    <w:p w14:paraId="00100234" w14:textId="00100235">
      <w:pPr>
        <w:spacing w:after="60"/>
      </w:pPr>
      <w:r>
        <w:rPr>
          <w:sz w:val="21"/>
        </w:rPr>
        <w:t xml:space="preserve">[11] Thompson Robin N, Stockwin J E, van Gaalen R D, et al. Improved inference of time-varying reproduction numbers during infectious disease outbreaks. Epidemics, 2019, 29: 100356. DOI: 10.1016/j.epidem.2019.100356.</w:t>
      </w:r>
    </w:p>
    <w:p w14:paraId="00100236" w14:textId="00100237">
      <w:pPr>
        <w:spacing w:after="60"/>
      </w:pPr>
      <w:r>
        <w:rPr>
          <w:sz w:val="21"/>
        </w:rPr>
        <w:t xml:space="preserve">[12] Gostic Katelyn M, McGough Lauren, Baskerville Edward B, et al. Practical considerations for measuring the effective reproductive number, Rt. PLOS Computational Biology, 2020, 16(12): e1008409. DOI: 10.1371/journal.pcbi.1008409.</w:t>
      </w:r>
    </w:p>
    <w:p w14:paraId="00100238" w14:textId="00100239">
      <w:pPr>
        <w:spacing w:after="60"/>
      </w:pPr>
      <w:r>
        <w:rPr>
          <w:sz w:val="21"/>
        </w:rPr>
        <w:t xml:space="preserve">[13] Steyn Nicholas, Parag Kris V, Thompson Robin N, et al. A primer on inference and prediction with epidemic renewal models and sequential Monte Carlo. Statistics in Medicine, 2025, 44(18-19): e70204. DOI: 10.1002/sim.70204.</w:t>
      </w:r>
    </w:p>
    <w:p w14:paraId="0010023A" w14:textId="0010023B">
      <w:pPr>
        <w:spacing w:after="60"/>
      </w:pPr>
      <w:r>
        <w:rPr>
          <w:sz w:val="21"/>
        </w:rPr>
        <w:t xml:space="preserve">[14] Nouvellet Pierre, Cori Anne, Garske Tini, et al. A simple approach to measure transmissibility and forecast incidence. Epidemics, 2018, 22: 29-35. DOI: 10.1016/j.epidem.2017.02.012.</w:t>
      </w:r>
    </w:p>
    <w:p w14:paraId="0010023C" w14:textId="0010023D">
      <w:pPr>
        <w:spacing w:after="60"/>
      </w:pPr>
      <w:r>
        <w:rPr>
          <w:sz w:val="21"/>
        </w:rPr>
        <w:t xml:space="preserve">[15] Bhatt Samir, Ferguson Neil, Flaxman Seth, et al. Semi-mechanistic Bayesian modeling of COVID-19 with renewal processes. Journal of the Royal Statistical Society Series A: Statistics in Society, 2023, 186(4): 601-615. DOI: 10.1093/jrsssa/qnad030.</w:t>
      </w:r>
    </w:p>
    <w:p w14:paraId="0010023E" w14:textId="0010023F">
      <w:pPr>
        <w:spacing w:after="60"/>
      </w:pPr>
      <w:r>
        <w:rPr>
          <w:sz w:val="21"/>
        </w:rPr>
        <w:t xml:space="preserve">[16] Bracher Johannes, Held Leonhard. A marginal moment matching approach for fitting endemic-epidemic models to underreported disease surveillance counts. Biometrics, 2021, 77(4): 1202-1214. DOI: 10.1111/biom.13371.</w:t>
      </w:r>
    </w:p>
    <w:p w14:paraId="00100240" w14:textId="00100241">
      <w:pPr>
        <w:spacing w:after="60"/>
      </w:pPr>
      <w:r>
        <w:rPr>
          <w:sz w:val="21"/>
        </w:rPr>
        <w:t xml:space="preserve">[17] Parag Kris V, Donnelly Christl A, Zarebski Alexander E. Quantifying the information in noisy epidemic curves. Nature Computational Science, 2022, 2(9): 584-594. DOI: 10.1038/s43588-022-00313-1.</w:t>
      </w:r>
    </w:p>
    <w:p w14:paraId="00100242" w14:textId="00100243">
      <w:pPr>
        <w:spacing w:after="60"/>
      </w:pPr>
      <w:r>
        <w:rPr>
          <w:sz w:val="21"/>
        </w:rPr>
        <w:t xml:space="preserve">[18] Parag Kris V, Donnelly Christl A. Fundamental limits on inferring epidemic resurgence in real time using effective reproduction numbers. PLOS Computational Biology, 2022, 18(4): e1010004. DOI: 10.1371/journal.pcbi.1010004.</w:t>
      </w:r>
    </w:p>
    <w:p w14:paraId="00100244" w14:textId="00100245">
      <w:pPr>
        <w:spacing w:after="60"/>
      </w:pPr>
      <w:r>
        <w:rPr>
          <w:sz w:val="21"/>
        </w:rPr>
        <w:t xml:space="preserve">[19] Parag Kris V, Lambert Ben, Donnelly Christl A, et al. Asymmetric limits on timely interventions from noisy epidemic data. Communications Physics, 2025, 8: 450. DOI: 10.1038/s42005-025-02358-w.</w:t>
      </w:r>
    </w:p>
    <w:p w14:paraId="00100246" w14:textId="00100247">
      <w:pPr>
        <w:spacing w:after="60"/>
      </w:pPr>
      <w:r>
        <w:rPr>
          <w:sz w:val="21"/>
        </w:rPr>
        <w:t xml:space="preserve">[20] Engen Steinar, Bakke Øyvind, Islam Aminul. Demographic and environmental stochasticity--concepts and definitions. Biometrics, 1998, 54(3): 840-846. DOI: 10.2307/2533838.</w:t>
      </w:r>
    </w:p>
    <w:p w14:paraId="00100248" w14:textId="00100249">
      <w:pPr>
        <w:spacing w:after="60"/>
      </w:pPr>
      <w:r>
        <w:rPr>
          <w:sz w:val="21"/>
        </w:rPr>
        <w:t xml:space="preserve">[21] Rohani Pejman, Keeling Matthew J, Grenfell Bryan T. The interplay between determinism and stochasticity in childhood diseases. The American Naturalist, 2002, 159(5): 469-481. DOI: 10.1086/339467.</w:t>
      </w:r>
    </w:p>
    <w:p w14:paraId="0010024A" w14:textId="0010024B">
      <w:pPr>
        <w:spacing w:after="60"/>
      </w:pPr>
      <w:r>
        <w:rPr>
          <w:sz w:val="21"/>
        </w:rPr>
        <w:t xml:space="preserve">[22] Bretó Carles, He Daihai, Ionides Edward L, et al. Time series analysis via mechanistic models. The Annals of Applied Statistics, 2009, 3(1): 319-348. DOI: 10.1214/08-AOAS201.</w:t>
      </w:r>
    </w:p>
    <w:p w14:paraId="0010024C" w14:textId="0010024D">
      <w:pPr>
        <w:spacing w:after="60"/>
      </w:pPr>
      <w:r>
        <w:rPr>
          <w:sz w:val="21"/>
        </w:rPr>
        <w:t xml:space="preserve">[23] Aber Rachael, Di Yanming, Dalziel Benjamin D. Time-series modeling of epidemics in complex populations: Detecting changes in incidence volatility over time. PLOS Computational Biology, 2025, 21(7): e1012882. DOI: 10.1371/journal.pcbi.1012882.</w:t>
      </w:r>
    </w:p>
    <w:p w14:paraId="0010024E" w14:textId="0010024F">
      <w:pPr>
        <w:spacing w:after="60"/>
      </w:pPr>
      <w:r>
        <w:rPr>
          <w:sz w:val="21"/>
        </w:rPr>
        <w:t xml:space="preserve">[24] Fuller Wayne A. Measurement Error Models. New York: John Wiley &amp; Sons, 1987. DOI: 10.1002/9780470316665.</w:t>
      </w:r>
    </w:p>
    <w:p w14:paraId="00100250" w14:textId="00100251">
      <w:pPr>
        <w:spacing w:after="60"/>
      </w:pPr>
      <w:r>
        <w:rPr>
          <w:sz w:val="21"/>
        </w:rPr>
        <w:t xml:space="preserve">[25] Carroll Raymond J, Ruppert David, Stefanski Leonard A, et al. Measurement Error in Nonlinear Models: A Modern Perspective. 2nd ed. Boca Raton: Chapman &amp; Hall/CRC, 2006. DOI: 10.1201/9781420010138.</w:t>
      </w:r>
    </w:p>
    <w:p w14:paraId="00100252" w14:textId="00100253">
      <w:pPr>
        <w:spacing w:after="60"/>
      </w:pPr>
      <w:r>
        <w:rPr>
          <w:sz w:val="21"/>
        </w:rPr>
        <w:t xml:space="preserve">[26] Verbeke Geert, Molenberghs Geert. Linear Mixed Models for Longitudinal Data. New York: Springer, 2000. DOI: 10.1007/978-1-4419-0300-6.</w:t>
      </w:r>
    </w:p>
    <w:p w14:paraId="00100254" w14:textId="00100255">
      <w:pPr>
        <w:spacing w:after="60"/>
      </w:pPr>
      <w:r>
        <w:rPr>
          <w:sz w:val="21"/>
        </w:rPr>
        <w:t xml:space="preserve">[27] Armstrong Ben G. Effect of measurement error on epidemiological studies of environmental and occupational exposures. Occupational and Environmental Medicine, 1998, 55(10): 651-656. DOI: 10.1136/oem.55.10.651.</w:t>
      </w:r>
    </w:p>
    <w:p w14:paraId="00100256" w14:textId="00100257">
      <w:pPr>
        <w:spacing w:after="60"/>
      </w:pPr>
      <w:r>
        <w:rPr>
          <w:sz w:val="21"/>
        </w:rPr>
        <w:t xml:space="preserve">[28] Althouse Benjamin M, Scarpino Samuel V, Meyers Lauren Ancel, et al. Enhancing disease surveillance with novel data streams: challenges and opportunities. EPJ Data Science, 2015, 4: 17. DOI: 10.1140/epjds/s13688-015-0054-0.</w:t>
      </w:r>
    </w:p>
    <w:p w14:paraId="00100258" w14:textId="00100259">
      <w:pPr>
        <w:spacing w:after="60"/>
      </w:pPr>
      <w:r>
        <w:rPr>
          <w:sz w:val="21"/>
        </w:rPr>
        <w:t xml:space="preserve">[29] Reich Nicholas G, McGowan Craig J, Yamana Teresa K, et al. Accuracy of real-time multi-model ensemble forecasts for seasonal influenza in the U.S. PLOS Computational Biology, 2019, 15(11): e1007486. DOI: 10.1371/journal.pcbi.1007486.</w:t>
      </w:r>
    </w:p>
    <w:p w14:paraId="0010025A" w14:textId="0010025B">
      <w:pPr>
        <w:spacing w:after="60"/>
      </w:pPr>
      <w:r>
        <w:rPr>
          <w:sz w:val="21"/>
        </w:rPr>
        <w:t xml:space="preserve">[30] Biggerstaff Matthew, Johansson Michael A, Alper David, et al. Results from the second year of a collaborative effort to forecast influenza seasons in the United States. Epidemics, 2018, 24: 26-33. DOI: 10.1016/j.epidem.2018.02.003.</w:t>
      </w:r>
    </w:p>
    <w:p w14:paraId="0010025C" w14:textId="0010025D">
      <w:pPr>
        <w:spacing w:after="60"/>
      </w:pPr>
      <w:r>
        <w:rPr>
          <w:sz w:val="21"/>
        </w:rPr>
        <w:t xml:space="preserve">[31] Mathis Shannon M, Webber Alexander E, León Teresa M, et al. Evaluation of FluSight influenza forecasting in the 2021-22 and 2022-23 seasons with a new target laboratory-confirmed influenza hospitalizations. Nature Communications, 2024, 15: 6289. DOI: 10.1038/s41467-024-50601-9.</w:t>
      </w:r>
    </w:p>
    <w:p w14:paraId="0010025E" w14:textId="0010025F">
      <w:pPr>
        <w:spacing w:after="60"/>
      </w:pPr>
      <w:r>
        <w:rPr>
          <w:sz w:val="21"/>
        </w:rPr>
        <w:t xml:space="preserve">[32] Cramer Estee Y, Ray Evan L, Lopez Velma K, et al. Evaluation of individual and ensemble probabilistic forecasts of COVID-19 mortality in the United States. Proceedings of the National Academy of Sciences, 2022, 119(15): e2113561119. DOI: 10.1073/pnas.2113561119.</w:t>
      </w:r>
    </w:p>
    <w:p w14:paraId="00100260" w14:textId="00100261">
      <w:pPr>
        <w:spacing w:after="60"/>
      </w:pPr>
      <w:r>
        <w:rPr>
          <w:sz w:val="21"/>
        </w:rPr>
        <w:t xml:space="preserve">[33] Ray Evan L, Brooks Logan C, Bien Jacob, et al. Comparing trained and untrained probabilistic ensemble forecasts of COVID-19 cases and deaths in the United States. International Journal of Forecasting, 2023, 39(3): 1366-1383. DOI: 10.1016/j.ijforecast.2022.06.005.</w:t>
      </w:r>
    </w:p>
    <w:p w14:paraId="00100262" w14:textId="00100263">
      <w:pPr>
        <w:spacing w:after="60"/>
      </w:pPr>
      <w:r>
        <w:rPr>
          <w:sz w:val="21"/>
        </w:rPr>
        <w:t xml:space="preserve">[34] Bosse Nikos I, Abbott Sam, Cori Anne, et al. Scoring epidemiological forecasts on transformed scales. PLOS Computational Biology, 2023, 19(8): e1011393. DOI: 10.1371/journal.pcbi.1011393.</w:t>
      </w:r>
    </w:p>
    <w:p w14:paraId="00100264" w14:textId="00100265">
      <w:pPr>
        <w:spacing w:after="60"/>
      </w:pPr>
      <w:r>
        <w:rPr>
          <w:sz w:val="21"/>
        </w:rPr>
        <w:t xml:space="preserve">[35] Zhou Hong, Thompson William W, Viboud Cécile G, et al. Hospitalizations associated with influenza and respiratory syncytial virus in the United States, 1993-2008. Clinical Infectious Diseases, 2012, 54(10): 1427-1436. DOI: 10.1093/cid/cis211.</w:t>
      </w:r>
    </w:p>
    <w:p w14:paraId="00100266" w14:textId="00100267">
      <w:pPr>
        <w:spacing w:after="60"/>
      </w:pPr>
      <w:r>
        <w:rPr>
          <w:sz w:val="21"/>
        </w:rPr>
        <w:t xml:space="preserve">[36] Cochran William G. Sampling Techniques. 3rd ed. New York: John Wiley &amp; Sons, 1977.</w:t>
      </w:r>
    </w:p>
    <w:p w14:paraId="00100268" w14:textId="00100269">
      <w:pPr>
        <w:spacing w:after="60"/>
      </w:pPr>
      <w:r>
        <w:rPr>
          <w:sz w:val="21"/>
        </w:rPr>
        <w:t xml:space="preserve">[37] Centers for Disease Control and Prevention. Weekly Hospital Respiratory Data (HRD) Metrics by Jurisdiction, National Healthcare Safety Network (NHSN). https://data.cdc.gov/d/ua7e-t2fy, 2026. CDC open-data catalogue record ua7e-t2fy. Accessed 2026-09-05</w:t>
      </w:r>
    </w:p>
    <w:p w14:paraId="0010026A" w14:textId="0010026B">
      <w:pPr>
        <w:spacing w:after="60"/>
      </w:pPr>
      <w:r>
        <w:rPr>
          <w:sz w:val="21"/>
        </w:rPr>
        <w:t xml:space="preserve">[38] Tokars Jerome I, Olsen Sonja J, Reed Carrie. Seasonal incidence of symptomatic influenza in the United States. Clinical Infectious Diseases, 2018, 66(10): 1511-1518. DOI: 10.1093/cid/cix1060.</w:t>
      </w:r>
    </w:p>
    <w:p w14:paraId="0010026C" w14:textId="0010026D">
      <w:pPr>
        <w:spacing w:after="60"/>
      </w:pPr>
      <w:r>
        <w:rPr>
          <w:sz w:val="21"/>
        </w:rPr>
        <w:t xml:space="preserve">[39] Flaxman Seth, Mishra Swapnil, Gandy Axel, et al. Estimating the effects of non-pharmaceutical interventions on COVID-19 in Europe. Nature, 2020, 584(7820): 257-261. DOI: 10.1038/s41586-020-2405-7.</w:t>
      </w:r>
    </w:p>
    <w:sectPr>
      <w:footerReference w:type="default" r:id="Rf021e528c17f4c64"/>
      <w:pgSz w:w="11906" w:h="16838"/>
      <w:pgMar w:top="1440" w:right="1803" w:bottom="1440" w:left="1803" w:header="850" w:footer="992"/>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26E" w14:textId="00100270">
    <w:pPr>
      <w:jc w:val="center"/>
    </w:pPr>
    <w:r>
      <w:rPr>
        <w:sz w:val="18"/>
      </w:rPr>
      <w:t xml:space="preserve"/>
    </w:r>
    <w:r>
      <w:fldChar w:fldCharType="begin"/>
    </w:r>
    <w:r>
      <w:instrText xml:space="preserve"> PAGE </w:instrText>
    </w:r>
    <w:r>
      <w:fldChar w:fldCharType="separate"/>
    </w:r>
    <w:r>
      <w:t xml:space="preserve">1</w:t>
    </w:r>
    <w:r>
      <w:fldChar w:fldCharType="end"/>
    </w:r>
  </w:p>
</w:ftr>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eastAsia="zh-C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等线"/>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678638c8ad944ee6" /><Relationship Type="http://schemas.openxmlformats.org/officeDocument/2006/relationships/styles" Target="/word/styles.xml" Id="R4dc6d0feecd343e5" /><Relationship Type="http://schemas.openxmlformats.org/officeDocument/2006/relationships/theme" Target="/word/theme/theme1.xml" Id="Rb00d9164eae64ed6" /><Relationship Type="http://schemas.openxmlformats.org/officeDocument/2006/relationships/numbering" Target="/word/numbering.xml" Id="R8466d7bb67164f36" /><Relationship Type="http://schemas.openxmlformats.org/officeDocument/2006/relationships/image" Target="/media/image.png" Id="Rf48636a26c2a4f4a" /><Relationship Type="http://schemas.openxmlformats.org/officeDocument/2006/relationships/image" Target="/media/image2.png" Id="R8153e3e6613b47f7" /><Relationship Type="http://schemas.openxmlformats.org/officeDocument/2006/relationships/image" Target="/media/image3.png" Id="Rbe1fe3d033fc4be2" /><Relationship Type="http://schemas.openxmlformats.org/officeDocument/2006/relationships/image" Target="/media/image4.png" Id="Rb31d6ca15eb64579" /><Relationship Type="http://schemas.openxmlformats.org/officeDocument/2006/relationships/footer" Target="/word/footer1.xml" Id="Rf021e528c17f4c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OfficeCLI/1.0.156</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2026-10-10T09:10:29Z</dcterms:created>
  <cp:lastModifiedBy>OfficeCLI</cp:lastModifiedBy>
  <dcterms:modified xsi:type="dcterms:W3CDTF">2026-10-10T09:10:29Z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1.0.156</vt:lpwstr>
  </op:property>
  <op:property fmtid="{D5CDD505-2E9C-101B-9397-08002B2CF9AE}" pid="3" name="OfficeCLI.LastModified">
    <vt:lpwstr xmlns:vt="http://schemas.openxmlformats.org/officeDocument/2006/docPropsVTypes">2026-10-10T09:11:31Z</vt:lpwstr>
  </op:property>
</op:Properties>
</file>