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dd460122fd6495e" /><Relationship Type="http://schemas.openxmlformats.org/package/2006/relationships/metadata/core-properties" Target="/docProps/core.xml" Id="R0e08934e01dc4cde" /><Relationship Type="http://schemas.openxmlformats.org/officeDocument/2006/relationships/extended-properties" Target="/docProps/app.xml" Id="R9dc5cd2e6acd47e1" /><Relationship Type="http://schemas.openxmlformats.org/officeDocument/2006/relationships/custom-properties" Target="/docProps/custom.xml" Id="R625581c9071144c8"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时，单期推断留存不可消除的环境方差下限 v_R，由此导出抽样方差与环境方差相等的方差平衡点 m_×；（3）提高检测报告率 ρ 仅能消除漏报抽样方差，唯有扩大实际感染基数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形式递减，经验平衡点约为 22.6 例/周；约四至五成半的误差份额落在与规模无关的拟合下限上；在达峰期，常数均值偏移是误差平台的主要来源，剥离偏差后规模效应依然显著。本文进一步分析了 CDC FluSight 前瞻集成预测和欧洲 11 国 COVID-19 数据，两组数据中随病例规模按 1/D_t 衰减的误差项均为正，经验平衡点随监测尺度和时间粒度变化。这些结果可用于比较扩大样本、延长观测期和采用多模型预测的相对收益。</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样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不可约环境方差。</w:t>
      </w:r>
    </w:p>
    <w:p w14:paraId="0010001E" w14:textId="0010001F">
      <w:pPr>
        <w:spacing w:after="0"/>
        <w:ind w:firstLine="480"/>
      </w:pPr>
      <w:r>
        <w:rPr>
          <w:sz w:val="24"/>
        </w:rPr>
        <w:t xml:space="preserve">第四，人口统计随机性与环境随机性区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ρ)的二元函数，并将第二项分解为计数方差与漏报抽样方差R̄/(ρn)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提高报告率仅能消除漏报抽样方差，无法消除完全报告时依然存在的计数波动，更无法消除个体超传播引入的内在子代抽样方差；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直观机制在于：报告抽样仅改变观测比例，无法改变个体繁殖内核的内在异质性；唯有扩大真实基数n才能通过大数定律压制微观抽样随机性。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命题4（预算约束下的监测设计权衡与可行性集合）：设在T个观测期内设计方案为D_T = (T, n_T)，总监测输入规模预算受限为B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T(1-r)/(1+r)；（3）当要求各期风险集相同且为正整数并精确用尽预算时，可行设计集合为B/ρ的正整数因子集合（若B/ρ非整数则等期数严格用尽集合为空）。</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c_1'/ρ）。在总经费预算ℬ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(ℬ-c_0)/c_1），则由凸函数单调性取边界角点解m* = (ℬ-c_0)/c_1（对应T=1）。在数理同构上，方差v_R/T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0f06146c29b94987"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f7d8868b113c43cf"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9219c94972a347d6"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大幅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7ba691e2304d4902"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3.47]）。鉴于排除限制难以在理论上绝对保证，该对照定位为说明变量误差不改变规模效应正向存在的稳健性对照。在代表性参数设定下导出理论交叉点约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主要表现为极少数异常值的右尾发散，更符合医院体系进出导致的局部成分扰动，而非均匀事件级漏报抽样；鉴于覆盖率不等同于事件级抽样概率且自愿期与夏季低发期重叠，定位为审慎的描述性证据。全美加总序列相对误差降至0.0348（约为单州平台的三分之一），其统计机理在于多区域空间汇聚削弱了非完全相关的局部环境扰动，构成了时间平均削减环境方差在空间维度上的平行对偶。</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抽样方差与环境方差各占总方差50%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平滑失配，明确将其定性为经验损失下限而非环境方差的孤立测度，未来可通过双轨前瞻社区追踪队列实现v_R的完全解耦识别；(3)因果推断的解释边界：自愿期覆盖率冲击与夏季低发期重叠，定位为审慎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5c0e2108413e4ce1"/>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29168174ade43f1" /><Relationship Type="http://schemas.openxmlformats.org/officeDocument/2006/relationships/styles" Target="/word/styles.xml" Id="R1c0ca09e01e543c6" /><Relationship Type="http://schemas.openxmlformats.org/officeDocument/2006/relationships/theme" Target="/word/theme/theme1.xml" Id="R2212d34ce1ff4c10" /><Relationship Type="http://schemas.openxmlformats.org/officeDocument/2006/relationships/numbering" Target="/word/numbering.xml" Id="R2698c1bc8d1641a0" /><Relationship Type="http://schemas.openxmlformats.org/officeDocument/2006/relationships/image" Target="/media/image.png" Id="R0f06146c29b94987" /><Relationship Type="http://schemas.openxmlformats.org/officeDocument/2006/relationships/image" Target="/media/image2.png" Id="Rf7d8868b113c43cf" /><Relationship Type="http://schemas.openxmlformats.org/officeDocument/2006/relationships/image" Target="/media/image3.png" Id="R9219c94972a347d6" /><Relationship Type="http://schemas.openxmlformats.org/officeDocument/2006/relationships/image" Target="/media/image4.png" Id="R7ba691e2304d4902" /><Relationship Type="http://schemas.openxmlformats.org/officeDocument/2006/relationships/footer" Target="/word/footer1.xml" Id="R5c0e2108413e4ce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2026-10-11T03:17:38Z</dcterms:created>
  <cp:lastModifiedBy>OfficeCLI</cp:lastModifiedBy>
  <dcterms:modified xsi:type="dcterms:W3CDTF">2026-10-11T03:17:38Z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2026-10-11T03:17:43Z</vt:lpwstr>
  </op:property>
</op:Properties>
</file>