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3a875234f12846a0" /><Relationship Type="http://schemas.openxmlformats.org/package/2006/relationships/metadata/core-properties" Target="/docProps/core.xml" Id="R13dbb7906ebb49fd" /><Relationship Type="http://schemas.openxmlformats.org/officeDocument/2006/relationships/extended-properties" Target="/docProps/app.xml" Id="R9da57b67e90e4906" /><Relationship Type="http://schemas.openxmlformats.org/officeDocument/2006/relationships/custom-properties" Target="/docProps/custom.xml" Id="Rdb28296669414dcb"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两阶段斜率差异未达统计显著），表明所谓“样本量失效”实为跨期平稳性假设破缺而非病例规模项丧失作用；时变交叉点在流感季（中位数 19.7—20.4）与非流感季（46.9—47.9）呈现系统性分异。本研究为优化公共卫生监测资源在样本覆盖、环境协变量采集与多期时空平滑之间的科学配置提供了定量分析参照。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8" w14:textId="00100019">
      <w:pPr>
        <w:spacing w:after="0"/>
        <w:ind w:firstLine="480"/>
      </w:pPr>
      <w:r>
        <w:rPr>
          <w:sz w:val="24"/>
        </w:rPr>
        <w:t xml:space="preserve">第二，不完全观测与状态空间滤波。现实监测系统仅能获取经过延迟与漏报抽稀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1E" w14:textId="0010001F">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3cc8368ce3844509" cstate="print"/>
                    <a:stretch>
                      <a:fillRect/>
                    </a:stretch>
                  </pic:blipFill>
                  <pic:spPr>
                    <a:xfrm>
                      <a:off x="0" y="0"/>
                      <a:ext cx="5303520" cy="1617458"/>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590082"/>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dcd7dfac2e8b41ef" cstate="print"/>
                    <a:stretch>
                      <a:fillRect/>
                    </a:stretch>
                  </pic:blipFill>
                  <pic:spPr>
                    <a:xfrm>
                      <a:off x="0" y="0"/>
                      <a:ext cx="5303520" cy="1590082"/>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e690bf861fdc47cd"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构建基于Cori等[10]滑动窗口更新过程的时变再生数基线（1/2/3周窗）与朴素平移基准C_{t+1}=C_t展开全尺度分箱对拍，结果见表2。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c719bca3d4a14daa"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[24,25]。</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Azmon A, Faes C, Hens N. On the estimation of the reproduction number based on misreported epidemic data. Statistics in Medicine, 2014, 33(7): 1176-1192. DOI: 10.1002/sim.6015.</w:t>
      </w:r>
    </w:p>
    <w:p w14:paraId="00100224" w14:textId="00100225">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6" w14:textId="00100227">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8" w14:textId="00100229">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A" w14:textId="0010022B">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C" w14:textId="0010022D">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2E" w14:textId="0010022F">
      <w:pPr>
        <w:spacing w:after="60"/>
      </w:pPr>
      <w:r>
        <w:rPr>
          <w:sz w:val="21"/>
        </w:rPr>
        <w:t xml:space="preserve">[9] Fraser Christophe. Estimating individual and household reproduction numbers in an emerging epidemic. PLOS ONE, 2007, 2(8): e758. DOI: 10.1371/journal.pone.0000758.</w:t>
      </w:r>
    </w:p>
    <w:p w14:paraId="00100230" w14:textId="00100231">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2" w14:textId="00100233">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4" w14:textId="00100235">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6" w14:textId="00100237">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8" w14:textId="00100239">
      <w:pPr>
        <w:spacing w:after="60"/>
      </w:pPr>
      <w:r>
        <w:rPr>
          <w:sz w:val="21"/>
        </w:rPr>
        <w:t xml:space="preserve">[14] Nouvellet Pierre, Cori Anne, Garske Tini, et al. A simple approach to measure transmissibility and forecast incidence. Epidemics, 2018, 22: 29-35. DOI: 10.1016/j.epidem.2017.02.012.</w:t>
      </w:r>
    </w:p>
    <w:p w14:paraId="0010023A" w14:textId="0010023B">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C" w14:textId="0010023D">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3E" w14:textId="0010023F">
      <w:pPr>
        <w:spacing w:after="60"/>
      </w:pPr>
      <w:r>
        <w:rPr>
          <w:sz w:val="21"/>
        </w:rPr>
        <w:t xml:space="preserve">[17] Parag Kris V, Donnelly Christl A, Zarebski Alexander E. Quantifying the information in noisy epidemic curves. Nature Computational Science, 2022, 2(9): 584-594. DOI: 10.1038/s43588-022-00313-1.</w:t>
      </w:r>
    </w:p>
    <w:p w14:paraId="00100240" w14:textId="00100241">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2" w14:textId="00100243">
      <w:pPr>
        <w:spacing w:after="60"/>
      </w:pPr>
      <w:r>
        <w:rPr>
          <w:sz w:val="21"/>
        </w:rPr>
        <w:t xml:space="preserve">[19] Parag Kris V, Lambert Ben, Donnelly Christl A, et al. Asymmetric limits on timely interventions from noisy epidemic data. Communications Physics, 2025, 8: 450. DOI: 10.1038/s42005-025-02358-w.</w:t>
      </w:r>
    </w:p>
    <w:p w14:paraId="00100244" w14:textId="00100245">
      <w:pPr>
        <w:spacing w:after="60"/>
      </w:pPr>
      <w:r>
        <w:rPr>
          <w:sz w:val="21"/>
        </w:rPr>
        <w:t xml:space="preserve">[20] Engen Steinar, Bakke Øyvind, Islam Aminul. Demographic and environmental stochasticity--concepts and definitions. Biometrics, 1998, 54(3): 840-846. DOI: 10.2307/2533838.</w:t>
      </w:r>
    </w:p>
    <w:p w14:paraId="00100246" w14:textId="00100247">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8" w14:textId="00100249">
      <w:pPr>
        <w:spacing w:after="60"/>
      </w:pPr>
      <w:r>
        <w:rPr>
          <w:sz w:val="21"/>
        </w:rPr>
        <w:t xml:space="preserve">[22] Bretó Carles, He Daihai, Ionides Edward L, et al. Time series analysis via mechanistic models. The Annals of Applied Statistics, 2009, 3(1): 319-348. DOI: 10.1214/08-AOAS201.</w:t>
      </w:r>
    </w:p>
    <w:p w14:paraId="0010024A" w14:textId="0010024B">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C" w14:textId="0010024D">
      <w:pPr>
        <w:spacing w:after="60"/>
      </w:pPr>
      <w:r>
        <w:rPr>
          <w:sz w:val="21"/>
        </w:rPr>
        <w:t xml:space="preserve">[24] Fuller Wayne A. Measurement Error Models. New York: John Wiley &amp; Sons, 1987. DOI: 10.1002/9780470316665.</w:t>
      </w:r>
    </w:p>
    <w:p w14:paraId="0010024E" w14:textId="0010024F">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0" w14:textId="00100251">
      <w:pPr>
        <w:spacing w:after="60"/>
      </w:pPr>
      <w:r>
        <w:rPr>
          <w:sz w:val="21"/>
        </w:rPr>
        <w:t xml:space="preserve">[26] Verbeke Geert, Molenberghs Geert. Linear Mixed Models for Longitudinal Data. New York: Springer, 2000. DOI: 10.1007/978-1-4419-0300-6.</w:t>
      </w:r>
    </w:p>
    <w:p w14:paraId="00100252" w14:textId="00100253">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4" w14:textId="00100255">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6" w14:textId="00100257">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8" w14:textId="00100259">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A" w14:textId="0010025B">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C" w14:textId="0010025D">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5E" w14:textId="0010025F">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0" w14:textId="00100261">
      <w:pPr>
        <w:spacing w:after="60"/>
      </w:pPr>
      <w:r>
        <w:rPr>
          <w:sz w:val="21"/>
        </w:rPr>
        <w:t xml:space="preserve">[34] Bosse Nikos I, Abbott Sam, Cori Anne, et al. Scoring epidemiological forecasts on transformed scales. PLOS Computational Biology, 2023, 19(8): e1011393. DOI: 10.1371/journal.pcbi.1011393.</w:t>
      </w:r>
    </w:p>
    <w:p w14:paraId="00100262" w14:textId="00100263">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4" w14:textId="00100265">
      <w:pPr>
        <w:spacing w:after="60"/>
      </w:pPr>
      <w:r>
        <w:rPr>
          <w:sz w:val="21"/>
        </w:rPr>
        <w:t xml:space="preserve">[36] Cochran William G. Sampling Techniques. 3rd ed. New York: John Wiley &amp; Sons, 1977.</w:t>
      </w:r>
    </w:p>
    <w:p w14:paraId="00100266" w14:textId="00100267">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8" w14:textId="00100269">
      <w:pPr>
        <w:spacing w:after="60"/>
      </w:pPr>
      <w:r>
        <w:rPr>
          <w:sz w:val="21"/>
        </w:rPr>
        <w:t xml:space="preserve">[38] Tokars Jerome I, Olsen Sonja J, Reed Carrie. Seasonal incidence of symptomatic influenza in the United States. Clinical Infectious Diseases, 2018, 66(10): 1511-1518. DOI: 10.1093/cid/cix1060.</w:t>
      </w:r>
    </w:p>
    <w:p w14:paraId="0010026A" w14:textId="0010026B">
      <w:pPr>
        <w:spacing w:after="60"/>
      </w:pPr>
      <w:r>
        <w:rPr>
          <w:sz w:val="21"/>
        </w:rPr>
        <w:t xml:space="preserve">[39] Flaxman Seth, Mishra Swapnil, Gandy Axel, et al. Estimating the effects of non-pharmaceutical interventions on COVID-19 in Europe. Nature, 2020, 584(7820): 257-261. DOI: 10.1038/s41586-020-2405-7.</w:t>
      </w:r>
    </w:p>
    <w:sectPr>
      <w:footerReference w:type="default" r:id="R6f42d7c4a55b4b9f"/>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C" w14:textId="0010026E">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15642af90fcd493e" /><Relationship Type="http://schemas.openxmlformats.org/officeDocument/2006/relationships/styles" Target="/word/styles.xml" Id="R4c4ee69c92114aaf" /><Relationship Type="http://schemas.openxmlformats.org/officeDocument/2006/relationships/theme" Target="/word/theme/theme1.xml" Id="R284d896e4ab34522" /><Relationship Type="http://schemas.openxmlformats.org/officeDocument/2006/relationships/numbering" Target="/word/numbering.xml" Id="Rf9bff250a7fc44b8" /><Relationship Type="http://schemas.openxmlformats.org/officeDocument/2006/relationships/image" Target="/media/image.png" Id="R3cc8368ce3844509" /><Relationship Type="http://schemas.openxmlformats.org/officeDocument/2006/relationships/image" Target="/media/image2.png" Id="Rdcd7dfac2e8b41ef" /><Relationship Type="http://schemas.openxmlformats.org/officeDocument/2006/relationships/image" Target="/media/image3.png" Id="Re690bf861fdc47cd" /><Relationship Type="http://schemas.openxmlformats.org/officeDocument/2006/relationships/image" Target="/media/image4.png" Id="Rc719bca3d4a14daa" /><Relationship Type="http://schemas.openxmlformats.org/officeDocument/2006/relationships/footer" Target="/word/footer1.xml" Id="R6f42d7c4a55b4b9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2026-10-10T02:46:16Z</dcterms:created>
  <cp:lastModifiedBy>OfficeCLI</cp:lastModifiedBy>
  <dcterms:modified xsi:type="dcterms:W3CDTF">2026-10-10T02:46:16Z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2026-10-10T02:46:21Z</vt:lpwstr>
  </op:property>
</op:Properties>
</file>