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020781635a8f4350" /><Relationship Type="http://schemas.openxmlformats.org/package/2006/relationships/metadata/core-properties" Target="/docProps/core.xml" Id="Rcfd2a5be1286456c" /><Relationship Type="http://schemas.openxmlformats.org/officeDocument/2006/relationships/extended-properties" Target="/docProps/app.xml" Id="Rbf9307f4461e4804" /><Relationship Type="http://schemas.openxmlformats.org/officeDocument/2006/relationships/custom-properties" Target="/docProps/custom.xml" Id="R6cae449593bb4bb7"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疫情监测中的病例规模收益边界：估计目标、环境随机性与外部验证</w:t>
      </w:r>
    </w:p>
    <w:p w14:paraId="00100002" w14:textId="00100003">
      <w:pPr>
        <w:spacing w:before="120" w:after="160"/>
        <w:ind w:firstLine="480"/>
      </w:pPr>
      <w:r>
        <w:rPr>
          <w:sz w:val="24"/>
        </w:rPr>
        <w:t xml:space="preserve">摘要：准确识别疫情增长并预测短期病例负担是现代传染病预警与公共卫生应急响应的核心支柱。常规直觉认为样本量越大推断精度越高，但在个体超传播、不完全检测与共同环境扰动并存时，样本规模与推断信息量不能简单等同。既有信息下界理论主要建立在瞬时再生数 R_t 一类估计目标上；本文证明更换估计目标后方差标度律随之改变，据此将病例规模何时不再主导推断误差转化为一个条件明确的监测设计问题。主要理论结果表明：（1）估计当期瞬态参数 R_t 时，测量方差随期望报告规模 m 严格单调趋零；（2）以单期数据估计跨期平稳基准 R̄ 时，单期推断留存不可消除的环境方差底板 v_R，由此导出两类方差相等的收益拐点 m_×；（3）提高报告率 ρ 仅能消除漏报抽稀方差，唯有扩大真实感染基数 n 才能使各项方差同时衰减；（4）时间序列中事后代理增长统计量与事前单步预测严格成比例，且误差在极小规模端受更新过程尾部方差二次放大。实证方面，基于全美 CDC NHSN 流感住院真实监测数据（16,218 个州周观测）：流行初期相对均方误差随规模呈理论预测的仿射衰减，经验拐点约为 23 例/周；约四至五成半的误差份额落在与规模无关的拟合底板上；在达峰期，常数均值偏移是误差平台的主要来源，剥离偏差后规模效应依然显著生效。进一步扩展至 CDC FluSight 真实多模型前瞻集成预警与欧洲 11 国 COVID-19 早期传播场景，均证实规模反比项稳健为正，同时确认经验阈值取决于具体监测尺度与时间粒度。上述发现为公共卫生监测在扩大样本捕获、时间滤波与多模型集成之间的资源配置提供了量化基准。</w:t>
      </w:r>
    </w:p>
    <w:p w14:paraId="00100004" w14:textId="00100005">
      <w:pPr>
        <w:spacing w:after="320"/>
        <w:ind w:firstLine="480"/>
      </w:pPr>
      <w:r>
        <w:rPr>
          <w:b/>
          <w:sz w:val="24"/>
        </w:rPr>
        <w:t xml:space="preserve">关键词：疫情增长判定；分支过程；超传播；漏报；环境随机性；监测设计；短期预测；流感住院实证</w:t>
      </w:r>
    </w:p>
    <w:p w14:paraId="00100006" w14:textId="00100007">
      <w:pPr>
        <w:pStyle w:val="Heading1"/>
        <w:spacing w:before="280" w:after="120"/>
      </w:pPr>
      <w:r>
        <w:rPr>
          <w:b/>
          <w:sz w:val="28"/>
        </w:rPr>
        <w:t xml:space="preserve">0引言</w:t>
      </w:r>
    </w:p>
    <w:p w14:paraId="00100008" w14:textId="00100009">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[3,4]；此外，处于同一地理辖区或时间窗口内的宿主群体共同受到气象条件、人群接触模式以及周期性社会流动等环境随机扰动[5,6]。在个体微观超传播、宏观监测漏报与中观共同环境波动交织并存的条件下，“样本量”与“信息量”不能再被简单等同。</w:t>
      </w:r>
    </w:p>
    <w:p w14:paraId="0010000A" w14:textId="0010000B">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C" w14:textId="0010000D">
      <w:pPr>
        <w:spacing w:after="0"/>
        <w:ind w:firstLine="480"/>
      </w:pPr>
      <w:r>
        <w:rPr>
          <w:sz w:val="24"/>
        </w:rPr>
        <w:t xml:space="preserve">针对上述关键科学问题，本文从负二项分支过程第一性原理出发，构建了一个分层随机推断框架，旨在系统厘清不同估计目标下病例规模的推断收益边界、监测杠杆的非对称性以及成本约束下的运筹设计准则，并基于全美长达六年的流感住院数据展开实证与反证检验。</w:t>
      </w:r>
    </w:p>
    <w:p w14:paraId="0010000E" w14:textId="0010000F">
      <w:pPr>
        <w:spacing w:after="0"/>
        <w:ind w:firstLine="480"/>
      </w:pPr>
      <w:r>
        <w:rPr>
          <w:sz w:val="24"/>
        </w:rPr>
        <w:t xml:space="preserve">需要明确，本文的核心理论贡献在于揭示估计目标与环境随机性对监测规模收益的决定性制约，建立“估计目标—方差结构—监测设计”的统一分析桥梁，而非提出新的动力学分布模型。</w:t>
      </w:r>
    </w:p>
    <w:p w14:paraId="00100010" w14:textId="00100011">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进行机制讨论、政策启示与局限性审视；第7节总结全文结论。</w:t>
      </w:r>
    </w:p>
    <w:p w14:paraId="00100012" w14:textId="00100013">
      <w:pPr>
        <w:pStyle w:val="Heading1"/>
        <w:spacing w:before="280" w:after="120"/>
      </w:pPr>
      <w:r>
        <w:rPr>
          <w:b/>
          <w:sz w:val="28"/>
        </w:rPr>
        <w:t xml:space="preserve">1研究回顾</w:t>
      </w:r>
    </w:p>
    <w:p w14:paraId="00100014" w14:textId="00100015">
      <w:pPr>
        <w:spacing w:after="0"/>
        <w:ind w:firstLine="480"/>
      </w:pPr>
      <w:r>
        <w:rPr>
          <w:sz w:val="24"/>
        </w:rPr>
        <w:t xml:space="preserve">与本文密切相关的文献可归纳为六大理论脉络：</w:t>
      </w:r>
    </w:p>
    <w:p w14:paraId="00100016" w14:textId="00100017">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[1,7]。随之发展的代际更新模型奠定了现代实时再生数推断的标准范式[8,9]，尤以Cori等[10]提出的EpiEstim框架成为国际基准。后续学者进一步探讨了滑动窗口跨度、世代间隔不确定性及平滑先验对再生数估计的修正法则[11,12,13]。</w:t>
      </w:r>
    </w:p>
    <w:p w14:paraId="00100018" w14:textId="00100019">
      <w:pPr>
        <w:spacing w:after="0"/>
        <w:ind w:firstLine="480"/>
      </w:pPr>
      <w:r>
        <w:rPr>
          <w:sz w:val="24"/>
        </w:rPr>
        <w:t xml:space="preserve">第二，不完全观测与状态空间滤波。现实监测系统仅能获取经过延迟与漏报抽稀的确诊或住院病例[3,14]。为重构潜在未观测感染压力，学者们构建了包含粒子滤波、半机制更新过程与分层时空平滑在内的状态空间推断架构[4,15]。Bracher与Held[16]则提出了基于边缘矩匹配的方法，在避免潜变量复杂似然计算的同时，系统揭示了报告率与传播强度的联合可识别性边界。</w:t>
      </w:r>
    </w:p>
    <w:p w14:paraId="0010001A" w14:textId="0010001B">
      <w:pPr>
        <w:spacing w:after="0"/>
        <w:ind w:firstLine="480"/>
      </w:pPr>
      <w:r>
        <w:rPr>
          <w:sz w:val="24"/>
        </w:rPr>
        <w:t xml:space="preserve">第三，Fisher信息量与推断物理极限。Parag等[17,18,19]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环境方差底板。</w:t>
      </w:r>
    </w:p>
    <w:p w14:paraId="0010001C" w14:textId="0010001D">
      <w:pPr>
        <w:spacing w:after="0"/>
        <w:ind w:firstLine="480"/>
      </w:pPr>
      <w:r>
        <w:rPr>
          <w:sz w:val="24"/>
        </w:rPr>
        <w:t xml:space="preserve">第四，人口统计随机性与环境随机性二分。生态动力学经典理论阐明了微观繁殖抽样随机性与宏观共同环境扰动的本质对立[20,21,22]。微观随机性随种群规模扩大而迅速衰减，但宏观环境震荡在单期横截面内具有共同乘性特征，无法凭单期病例聚合消除[5,6,23]。在计量统计学中，这一问题与经典测量误差模型及方差成分信度理论在代数形式上高度一致[24,25,26,27]，其交叉点在方差分解中恰对应单期估计方差内部信度比（即信号方差占总方差比例）等于0.5的对称位置[25]。</w:t>
      </w:r>
    </w:p>
    <w:p w14:paraId="0010001E" w14:textId="0010001F">
      <w:pPr>
        <w:spacing w:after="0"/>
        <w:ind w:firstLine="480"/>
      </w:pPr>
      <w:r>
        <w:rPr>
          <w:sz w:val="24"/>
        </w:rPr>
        <w:t xml:space="preserve">第五，大规模真实监测与前瞻预测评估实践。从新型数据流拓展[28]到美国CDC FluSight挑战赛等多模型集成实践[29,30,31]，前瞻预测精度的提升迅速呈现收益递减平台，多模型集合在流行拐点与传播态势突变处往往面临显著的预测偏差与区间覆盖不稳定[32,33]；相对均方误差等评分规则展现出有效平衡不同发病规模量级的稳健优势[34]。而在历史住院基准方面，相关基础监测分析为折算每例有症状感染的住院比例提供了核心流行病学依据[35]。</w:t>
      </w:r>
    </w:p>
    <w:p w14:paraId="00100020" w14:textId="00100021">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2" w14:textId="00100023">
      <w:pPr>
        <w:pStyle w:val="Heading1"/>
        <w:spacing w:before="280" w:after="120"/>
      </w:pPr>
      <w:r>
        <w:rPr>
          <w:b/>
          <w:sz w:val="28"/>
        </w:rPr>
        <w:t xml:space="preserve">2模型与方法</w:t>
      </w:r>
    </w:p>
    <w:p w14:paraId="00100024" w14:textId="00100025">
      <w:pPr>
        <w:pStyle w:val="Heading2"/>
        <w:spacing w:before="200" w:after="80"/>
      </w:pPr>
      <w:r>
        <w:rPr>
          <w:b/>
          <w:sz w:val="24"/>
        </w:rPr>
        <w:t xml:space="preserve">2.1传播动力学生灭模型与个体超传播</w:t>
      </w:r>
    </w:p>
    <w:p w14:paraId="00100026" w14:textId="00100027">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8" w14:textId="00100029">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A" w14:textId="0010002B">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C" w14:textId="0010002D">
      <w:pPr>
        <w:pStyle w:val="Heading2"/>
        <w:spacing w:before="200" w:after="80"/>
      </w:pPr>
      <w:r>
        <w:rPr>
          <w:b/>
          <w:sz w:val="24"/>
        </w:rPr>
        <w:t xml:space="preserve">2.2监测漏报与二项抽稀观测模型</w:t>
      </w:r>
    </w:p>
    <w:p w14:paraId="0010002E" w14:textId="0010002F">
      <w:pPr>
        <w:spacing w:after="0"/>
        <w:ind w:firstLine="480"/>
      </w:pPr>
      <w:r>
        <w:rPr>
          <w:sz w:val="24"/>
        </w:rPr>
        <w:t xml:space="preserve">现实监测网络无法完全捕获所有真实感染。假设每个真实感染者以概率ρ∈(0,1]独立被报告，当期报告病例数为C_t：</w:t>
      </w:r>
    </w:p>
    <w:p w14:paraId="00100030" w14:textId="00100031">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2" w14:textId="00100033">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4" w14:textId="00100035">
      <w:pPr>
        <w:pStyle w:val="Heading2"/>
        <w:spacing w:before="200" w:after="80"/>
      </w:pPr>
      <w:r>
        <w:rPr>
          <w:b/>
          <w:sz w:val="24"/>
        </w:rPr>
        <w:t xml:space="preserve">2.3估计目标的分层界定：当期参数与跨期基础水平</w:t>
      </w:r>
    </w:p>
    <w:p w14:paraId="00100036" w14:textId="00100037">
      <w:pPr>
        <w:spacing w:after="0"/>
        <w:ind w:firstLine="480"/>
      </w:pPr>
      <w:r>
        <w:rPr>
          <w:sz w:val="24"/>
        </w:rPr>
        <w:t xml:space="preserve">推断精度的性质根本上取决于估计目标：</w:t>
      </w:r>
    </w:p>
    <w:p w14:paraId="00100038" w14:textId="00100039">
      <w:pPr>
        <w:spacing w:after="0"/>
        <w:ind w:firstLine="480"/>
      </w:pPr>
      <w:r>
        <w:rPr>
          <w:sz w:val="24"/>
        </w:rPr>
        <w:t xml:space="preserve">目标A（当期传播参数）：估计当期特定环境条件下的瞬时传播强度R_t，反映特定周度气象与接触条件决定的个体期望继发感染水平。</w:t>
      </w:r>
    </w:p>
    <w:p w14:paraId="0010003A" w14:textId="0010003B">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C" w14:textId="0010003D">
      <w:pPr>
        <w:pStyle w:val="Heading2"/>
        <w:spacing w:before="200" w:after="80"/>
      </w:pPr>
      <w:r>
        <w:rPr>
          <w:b/>
          <w:sz w:val="24"/>
        </w:rPr>
        <w:t xml:space="preserve">2.4信息集划分与预测设定</w:t>
      </w:r>
    </w:p>
    <w:p w14:paraId="0010003E" w14:textId="0010003F">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0" w14:textId="00100041">
      <w:pPr>
        <w:pStyle w:val="Heading1"/>
        <w:spacing w:before="280" w:after="120"/>
      </w:pPr>
      <w:r>
        <w:rPr>
          <w:b/>
          <w:sz w:val="28"/>
        </w:rPr>
        <w:t xml:space="preserve">3理论结果与运筹设计</w:t>
      </w:r>
    </w:p>
    <w:p w14:paraId="00100042" w14:textId="00100043">
      <w:pPr>
        <w:pStyle w:val="Heading2"/>
        <w:spacing w:before="200" w:after="80"/>
      </w:pPr>
      <w:r>
        <w:rPr>
          <w:b/>
          <w:sz w:val="24"/>
        </w:rPr>
        <w:t xml:space="preserve">3.1当期传播参数的条件似然、Fisher信息与方差下界</w:t>
      </w:r>
    </w:p>
    <w:p w14:paraId="00100044" w14:textId="00100045">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6" w14:textId="00100047">
      <w:pPr>
        <w:spacing w:after="0"/>
        <w:ind w:firstLine="480"/>
      </w:pPr>
      <w:r>
        <w:rPr>
          <w:sz w:val="24"/>
        </w:rPr>
        <w:t xml:space="preserve">（1）报告病例数C_t在给定(n, R_t)下的边缘分布严格服从负二项分布：C_t|(n,R_t) ~ NB(均值=ρnR_t, 形状参数=nk, p*=k/(k+ρR_t))；</w:t>
      </w:r>
    </w:p>
    <w:p w14:paraId="00100048" w14:textId="00100049">
      <w:pPr>
        <w:spacing w:after="0"/>
        <w:ind w:firstLine="480"/>
      </w:pPr>
      <w:r>
        <w:rPr>
          <w:sz w:val="24"/>
        </w:rPr>
        <w:t xml:space="preserve">（2）矩估计量 R̂_t = C_t/(ρn) 恰为该条件似然模型下的极大似然估计量（MLE）；当C_t=0时估计量位于参数空间边界；</w:t>
      </w:r>
    </w:p>
    <w:p w14:paraId="0010004A" w14:textId="0010004B">
      <w:pPr>
        <w:spacing w:after="0"/>
        <w:ind w:firstLine="480"/>
      </w:pPr>
      <w:r>
        <w:rPr>
          <w:sz w:val="24"/>
        </w:rPr>
        <w:t xml:space="preserve">（3）在内部参数点R_t&gt;0上，关于R_t的Fisher信息量严格等于：</w:t>
      </w:r>
    </w:p>
    <w:p w14:paraId="0010004C" w14:textId="0010004D">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4E" w14:textId="0010004F">
      <w:pPr>
        <w:spacing w:after="0"/>
        <w:ind w:firstLine="480"/>
      </w:pPr>
      <w:r>
        <w:rPr>
          <w:sz w:val="24"/>
        </w:rPr>
        <w:t xml:space="preserve">（4）估计量R̂_t的条件方差严格达到Cramér–Rao下界：</w:t>
      </w:r>
    </w:p>
    <w:p w14:paraId="00100050" w14:textId="00100051">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2" w14:textId="00100053">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4" w14:textId="00100055">
      <w:pPr>
        <w:pStyle w:val="Heading2"/>
        <w:spacing w:before="200" w:after="80"/>
      </w:pPr>
      <w:r>
        <w:rPr>
          <w:b/>
          <w:sz w:val="24"/>
        </w:rPr>
        <w:t xml:space="preserve">3.2跨期基础水平的边际方差与平滑交叉点</w:t>
      </w:r>
    </w:p>
    <w:p w14:paraId="00100056" w14:textId="00100057">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8" w14:textId="00100059">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A" w14:textId="0010005B">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C" w14:textId="0010005D">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5E" w14:textId="0010005F">
      <w:pPr>
        <w:spacing w:after="0"/>
        <w:ind w:firstLine="480"/>
      </w:pPr>
      <w:r>
        <w:rPr>
          <w:sz w:val="24"/>
        </w:rPr>
        <w:t xml:space="preserve">在方差分解的代数形式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0" w14:textId="00100061">
      <w:pPr>
        <w:pStyle w:val="Heading2"/>
        <w:spacing w:before="200" w:after="80"/>
      </w:pPr>
      <w:r>
        <w:rPr>
          <w:b/>
          <w:sz w:val="24"/>
        </w:rPr>
        <w:t xml:space="preserve">3.3监测杠杆的非对称性机制拆解</w:t>
      </w:r>
    </w:p>
    <w:p w14:paraId="00100062" w14:textId="00100063">
      <w:pPr>
        <w:spacing w:after="0"/>
        <w:ind w:firstLine="480"/>
      </w:pPr>
      <w:r>
        <w:rPr>
          <w:sz w:val="24"/>
        </w:rPr>
        <w:t xml:space="preserve">命题3（监测杠杆的非对称性与超传播方差下界）：将式(5)拆解为关于(n, ρ)的二元函数，并将第二项分解为计数方差与漏报抽稀方差R̄/(ρn) = R̄/n + (1-ρ)R̄/(ρn)。</w:t>
      </w:r>
    </w:p>
    <w:p w14:paraId="00100064" w14:textId="00100065">
      <w:pPr>
        <w:spacing w:after="0"/>
        <w:ind w:firstLine="480"/>
      </w:pPr>
      <w:r>
        <w:rPr>
          <w:sz w:val="24"/>
        </w:rPr>
        <w:t xml:space="preserve">（1）报告率杠杆的饱和下界：给定有限风险集n&lt;∞，当报告率趋于理想极限ρ→1时：</w:t>
      </w:r>
    </w:p>
    <w:p w14:paraId="00100066" w14:textId="00100067">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8" w14:textId="00100069">
      <w:pPr>
        <w:spacing w:after="0"/>
        <w:ind w:firstLine="480"/>
      </w:pPr>
      <w:r>
        <w:rPr>
          <w:sz w:val="24"/>
        </w:rPr>
        <w:t xml:space="preserve">提高报告率仅能消除漏报抽稀方差，无法消除完全报告时依然存在的计数波动，更无法消除个体超传播引入的内在子代抽样方差；</w:t>
      </w:r>
    </w:p>
    <w:p w14:paraId="0010006A" w14:textId="0010006B">
      <w:pPr>
        <w:spacing w:after="0"/>
        <w:ind w:firstLine="480"/>
      </w:pPr>
      <w:r>
        <w:rPr>
          <w:sz w:val="24"/>
        </w:rPr>
        <w:t xml:space="preserve">（2）样本基数杠杆的全域收敛性：无论报告率ρ处于何种水平，只要扩大真实风险集规模至极限n→∞，两项规模相关方差均严格收敛于零：</w:t>
      </w:r>
    </w:p>
    <w:p w14:paraId="0010006C" w14:textId="0010006D">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6E" w14:textId="0010006F">
      <w:pPr>
        <w:spacing w:after="0"/>
        <w:ind w:firstLine="480"/>
      </w:pPr>
      <w:r>
        <w:rPr>
          <w:sz w:val="24"/>
        </w:rPr>
        <w:t xml:space="preserve">直观机制在于：抽稀仅改变观测比例，无法改变个体繁殖内核的内在异质性；唯有扩大真实基数n才能通过大数定律压制微观抽样随机性。</w:t>
      </w:r>
    </w:p>
    <w:p w14:paraId="00100070" w14:textId="00100071">
      <w:pPr>
        <w:pStyle w:val="Heading2"/>
        <w:spacing w:before="200" w:after="80"/>
      </w:pPr>
      <w:r>
        <w:rPr>
          <w:b/>
          <w:sz w:val="24"/>
        </w:rPr>
        <w:t xml:space="preserve">3.4跨期监测预算权衡与AR(1)环境衰减</w:t>
      </w:r>
    </w:p>
    <w:p w14:paraId="00100072" w14:textId="00100073">
      <w:pPr>
        <w:spacing w:after="0"/>
        <w:ind w:firstLine="480"/>
      </w:pPr>
      <w:r>
        <w:rPr>
          <w:sz w:val="24"/>
        </w:rPr>
        <w:t xml:space="preserve">命题4（预算约束下的监测设计权衡与可行性集合）：设在T个观测期内总监测输入规模预算受限为B = T·m（每期m = ρn_T）：</w:t>
      </w:r>
    </w:p>
    <w:p w14:paraId="00100074" w14:textId="00100075">
      <w:pPr>
        <w:spacing w:after="0"/>
        <w:ind w:firstLine="480"/>
      </w:pPr>
      <w:r>
        <w:rPr>
          <w:sz w:val="24"/>
        </w:rPr>
        <w:t xml:space="preserve">（1）若各期环境扰动跨期独立，平均估计量的方差为Var(R̄_T) = v_R/T + A/B。总预算B固定时，拉长观测期数T能够以O(1/T)严格单调降低估计方差；</w:t>
      </w:r>
    </w:p>
    <w:p w14:paraId="00100076" w14:textId="00100077">
      <w:pPr>
        <w:spacing w:after="0"/>
        <w:ind w:firstLine="480"/>
      </w:pPr>
      <w:r>
        <w:rPr>
          <w:sz w:val="24"/>
        </w:rPr>
        <w:t xml:space="preserve">（2）若环境扰动存在一阶自回归自相关Cov(R_t, R_{t+s}) = v_R r^{|s|}（0≤r&lt;1），有限期数T下的精确方差为：</w:t>
      </w:r>
    </w:p>
    <w:p w14:paraId="00100078" w14:textId="00100079">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A" w14:textId="0010007B">
      <w:pPr>
        <w:spacing w:after="0"/>
        <w:ind w:firstLine="480"/>
      </w:pPr>
      <w:r>
        <w:rPr>
          <w:sz w:val="24"/>
        </w:rPr>
        <w:t xml:space="preserve">大期数极限下有效独立期数近似为T_eff = T(1-r)/(1+r)；（3）当要求各期风险集相同且为正整数并精确用尽预算时，可行设计集合为B/ρ的正整数因子集合。</w:t>
      </w:r>
    </w:p>
    <w:p w14:paraId="0010007C" w14:textId="0010007D">
      <w:pPr>
        <w:pStyle w:val="Heading2"/>
        <w:spacing w:before="200" w:after="80"/>
      </w:pPr>
      <w:r>
        <w:rPr>
          <w:b/>
          <w:sz w:val="24"/>
        </w:rPr>
        <w:t xml:space="preserve">3.5成本约束下的最优监测规模闭式解</w:t>
      </w:r>
    </w:p>
    <w:p w14:paraId="0010007E" w14:textId="0010007F">
      <w:pPr>
        <w:spacing w:after="0"/>
        <w:ind w:firstLine="480"/>
      </w:pPr>
      <w:r>
        <w:rPr>
          <w:sz w:val="24"/>
        </w:rPr>
        <w:t xml:space="preserve">推论1（成本与预算约束下的最优监测规模）：设每期固定运转成本为c_0&gt;0，每上报一例边际成本为c_1&gt;0（人均监测成本c_1'下对应c_1 = c_1'/ρ）。在总成本预算B = T(c_0 + c_1 m)与连续期数T≥1近似约束下，最优单期规模由一阶导数唯一确定为：</w:t>
      </w:r>
    </w:p>
    <w:p w14:paraId="00100080" w14:textId="00100081">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2" w14:textId="00100083">
      <w:pPr>
        <w:spacing w:after="0"/>
        <w:ind w:firstLine="480"/>
      </w:pPr>
      <w:r>
        <w:rPr>
          <w:sz w:val="24"/>
        </w:rPr>
        <w:t xml:space="preserve">注记：若由内部一阶条件求出的规模超出可行上界（即sqrt((c_0/c_1)m_×) &gt; (B-c_0)/c_1），则由凸函数单调性取边界角点解m* = (B-c_0)/c_1（对应T=1）。在数理同构上，方差v_R/T + A/(Tm)与总成本T(c_0 + c_1 m)结构与经典两阶段抽样最优次级样本量配置模型[36]严格对应（期数T对应初级抽样单元，单期病例m对应次级单元）。推论1将其运用于动态监测运筹，并引入AR(1)自相关修正：有效环境方差增大为v_eff，最优单期规模相应调整为m*_AR = sqrt((c_0/c_1)·m_×·(1-r)/(1+r)) &lt; m*。最优规模m*对未知方差参数的依赖完全通过交叉点m_×充分降维体现。</w:t>
      </w:r>
    </w:p>
    <w:p w14:paraId="00100084" w14:textId="00100085">
      <w:pPr>
        <w:pStyle w:val="Heading2"/>
        <w:spacing w:before="200" w:after="80"/>
      </w:pPr>
      <w:r>
        <w:rPr>
          <w:b/>
          <w:sz w:val="24"/>
        </w:rPr>
        <w:t xml:space="preserve">3.6单调似然比超临界增长判定检验</w:t>
      </w:r>
    </w:p>
    <w:p w14:paraId="00100086" w14:textId="00100087">
      <w:pPr>
        <w:spacing w:after="0"/>
        <w:ind w:firstLine="480"/>
      </w:pPr>
      <w:r>
        <w:rPr>
          <w:sz w:val="24"/>
        </w:rPr>
        <w:t xml:space="preserve">命题5（当期超临界增长判定检验与精确离散功效）：针对单侧假设检验H_0: R_t ≤ 1 对 H_1: R_t &gt; 1：</w:t>
      </w:r>
    </w:p>
    <w:p w14:paraId="00100088" w14:textId="00100089">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A" w14:textId="0010008B">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C" w14:textId="0010008D">
      <w:pPr>
        <w:pStyle w:val="Heading2"/>
        <w:spacing w:before="200" w:after="80"/>
      </w:pPr>
      <w:r>
        <w:rPr>
          <w:b/>
          <w:sz w:val="24"/>
        </w:rPr>
        <w:t xml:space="preserve">3.7更新过程前瞻预测误差的条件分解</w:t>
      </w:r>
    </w:p>
    <w:p w14:paraId="0010008E" w14:textId="0010008F">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0" w14:textId="00100091">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2" w14:textId="00100093">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4" w14:textId="00100095">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6" w14:textId="00100097">
      <w:pPr>
        <w:pStyle w:val="Heading1"/>
        <w:spacing w:before="280" w:after="120"/>
      </w:pPr>
      <w:r>
        <w:rPr>
          <w:b/>
          <w:sz w:val="28"/>
        </w:rPr>
        <w:t xml:space="preserve">4数值模拟评估</w:t>
      </w:r>
    </w:p>
    <w:p w14:paraId="00100098" w14:textId="00100099">
      <w:pPr>
        <w:pStyle w:val="Heading2"/>
        <w:spacing w:before="200" w:after="80"/>
      </w:pPr>
      <w:r>
        <w:rPr>
          <w:b/>
          <w:sz w:val="24"/>
        </w:rPr>
        <w:t xml:space="preserve">4.1理论命题与交叉点的数值验证</w:t>
      </w:r>
    </w:p>
    <w:p w14:paraId="0010009A" w14:textId="0010009B">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C" w14:textId="0010009D">
      <w:pPr>
        <w:spacing w:before="240" w:after="40"/>
        <w:jc w:val="center"/>
      </w:pPr>
      <w:r>
        <w:drawing>
          <wp:inline distT="0" distB="0" distL="0" distR="0">
            <wp:extent cx="5303520" cy="1617458"/>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e134fec21eac41d7" cstate="print"/>
                    <a:stretch>
                      <a:fillRect/>
                    </a:stretch>
                  </pic:blipFill>
                  <pic:spPr>
                    <a:xfrm>
                      <a:off x="0" y="0"/>
                      <a:ext cx="5303520" cy="1617458"/>
                    </a:xfrm>
                    <a:prstGeom prst="rect">
                      <a:avLst/>
                    </a:prstGeom>
                  </pic:spPr>
                </pic:pic>
              </a:graphicData>
            </a:graphic>
          </wp:inline>
        </w:drawing>
      </w:r>
    </w:p>
    <w:p w14:paraId="0010009E" w14:textId="0010009F">
      <w:pPr>
        <w:spacing w:before="40" w:after="240"/>
        <w:jc w:val="center"/>
      </w:pPr>
      <w:r>
        <w:rPr>
          <w:b/>
          <w:sz w:val="21"/>
        </w:rPr>
        <w:t xml:space="preserve">图1 理论命题与方差占比交叉点蒙特卡洛验证</w:t>
      </w:r>
    </w:p>
    <w:p w14:paraId="001000A0" w14:textId="001000A1">
      <w:pPr>
        <w:pStyle w:val="Heading2"/>
        <w:spacing w:before="200" w:after="80"/>
      </w:pPr>
      <w:r>
        <w:rPr>
          <w:b/>
          <w:sz w:val="24"/>
        </w:rPr>
        <w:t xml:space="preserve">4.2增长判定检验的有限样本功效与Wald近似失效</w:t>
      </w:r>
    </w:p>
    <w:p w14:paraId="001000A2" w14:textId="001000A3">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4" w14:textId="001000A5">
      <w:pPr>
        <w:spacing w:before="240" w:after="40"/>
        <w:jc w:val="center"/>
      </w:pPr>
      <w:r>
        <w:drawing>
          <wp:inline distT="0" distB="0" distL="0" distR="0">
            <wp:extent cx="5303520" cy="1455234"/>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29bef85c805f4cc1" cstate="print"/>
                    <a:stretch>
                      <a:fillRect/>
                    </a:stretch>
                  </pic:blipFill>
                  <pic:spPr>
                    <a:xfrm>
                      <a:off x="0" y="0"/>
                      <a:ext cx="5303520" cy="1455234"/>
                    </a:xfrm>
                    <a:prstGeom prst="rect">
                      <a:avLst/>
                    </a:prstGeom>
                  </pic:spPr>
                </pic:pic>
              </a:graphicData>
            </a:graphic>
          </wp:inline>
        </w:drawing>
      </w:r>
    </w:p>
    <w:p w14:paraId="001000A6" w14:textId="001000A7">
      <w:pPr>
        <w:spacing w:before="40" w:after="240"/>
        <w:jc w:val="center"/>
      </w:pPr>
      <w:r>
        <w:rPr>
          <w:b/>
          <w:sz w:val="21"/>
        </w:rPr>
        <w:t xml:space="preserve">图2 当期超临界增长判定检验功效与有限样本性质验证</w:t>
      </w:r>
    </w:p>
    <w:p w14:paraId="001000A8" w14:textId="001000A9">
      <w:pPr>
        <w:pStyle w:val="Heading2"/>
        <w:spacing w:before="200" w:after="80"/>
      </w:pPr>
      <w:r>
        <w:rPr>
          <w:b/>
          <w:sz w:val="24"/>
        </w:rPr>
        <w:t xml:space="preserve">4.3代际更新过程时间序列预测误差衰减仿真</w:t>
      </w:r>
    </w:p>
    <w:p w14:paraId="001000AA" w14:textId="001000AB">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C" w14:textId="001000AD">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21925904b89f4740" cstate="print"/>
                    <a:stretch>
                      <a:fillRect/>
                    </a:stretch>
                  </pic:blipFill>
                  <pic:spPr>
                    <a:xfrm>
                      <a:off x="0" y="0"/>
                      <a:ext cx="5303520" cy="1411133"/>
                    </a:xfrm>
                    <a:prstGeom prst="rect">
                      <a:avLst/>
                    </a:prstGeom>
                  </pic:spPr>
                </pic:pic>
              </a:graphicData>
            </a:graphic>
          </wp:inline>
        </w:drawing>
      </w:r>
    </w:p>
    <w:p w14:paraId="001000AE" w14:textId="001000AF">
      <w:pPr>
        <w:spacing w:before="40" w:after="240"/>
        <w:jc w:val="center"/>
      </w:pPr>
      <w:r>
        <w:rPr>
          <w:b/>
          <w:sz w:val="21"/>
        </w:rPr>
        <w:t xml:space="preserve">图3 更新过程时间序列事后统计量与事前预测误差对照</w:t>
      </w:r>
    </w:p>
    <w:p w14:paraId="001000B0" w14:textId="001000B1">
      <w:pPr>
        <w:pStyle w:val="Heading1"/>
        <w:spacing w:before="280" w:after="120"/>
      </w:pPr>
      <w:r>
        <w:rPr>
          <w:b/>
          <w:sz w:val="28"/>
        </w:rPr>
        <w:t xml:space="preserve">5实证检验：全美流感住院监测数据（2020—2026）</w:t>
      </w:r>
    </w:p>
    <w:p w14:paraId="001000B2" w14:textId="001000B3">
      <w:pPr>
        <w:pStyle w:val="Heading2"/>
        <w:spacing w:before="200" w:after="80"/>
      </w:pPr>
      <w:r>
        <w:rPr>
          <w:b/>
          <w:sz w:val="24"/>
        </w:rPr>
        <w:t xml:space="preserve">5.1数据来源、制度分段与有效样本界定</w:t>
      </w:r>
    </w:p>
    <w:p w14:paraId="001000B4" w14:textId="001000B5">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NHSN周度流感确诊新发住院人数与各州医院报告覆盖率官方开放数据（官方目录标识符ua7e-t2fy，SHA-256校验和e48c2ea92e0beb552a6510b7b0c2fe7a7c9ea911cd27880169298c34de20c330）。该住院指标系全美CDC FluSight自2021—22赛季起确立的核心基准预测目标[31]，具备坚实的公共卫生实战代表性。样本跨越2020年8月至2026年9月初共16,218个州--周观测。样本筛选采用单一口径：D_t≥5的活跃周阈值（得10,303个有效州--周），不设覆盖率门槛以避免系统剔除低覆盖样本。</w:t>
      </w:r>
    </w:p>
    <w:p w14:paraId="001000B6" w14:textId="001000B7">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断崖跌至54.6%）；CMS新规重制期（2024-11至2026-09，96个有效周，N=3,874，覆盖率恢复至91.8%）。</w:t>
      </w:r>
    </w:p>
    <w:p w14:paraId="001000B8" w14:textId="001000B9">
      <w:pPr>
        <w:pStyle w:val="Heading2"/>
        <w:spacing w:before="200" w:after="80"/>
      </w:pPr>
      <w:r>
        <w:rPr>
          <w:b/>
          <w:sz w:val="24"/>
        </w:rPr>
        <w:t xml:space="preserve">5.2检验一：流行初期波段的方差衰减与误差预算分解</w:t>
      </w:r>
    </w:p>
    <w:p w14:paraId="001000BA" w14:textId="001000BB">
      <w:pPr>
        <w:spacing w:after="0"/>
        <w:ind w:firstLine="480"/>
      </w:pPr>
      <w:r>
        <w:rPr>
          <w:sz w:val="24"/>
        </w:rPr>
        <w:t xml:space="preserve">在三个流感季初期上升波段（N=1,267，平均增长率1.6706）中展开回顾性阶段条件误差分析，各规模分组统计见表1。</w:t>
      </w:r>
    </w:p>
    <w:p w14:paraId="001000BC" w14:textId="001000BD">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BE" w14:textId="001000BF">
            <w:r>
              <w:t xml:space="preserve">每周有效规模D_t</w:t>
            </w:r>
          </w:p>
        </w:tc>
        <w:tc>
          <w:p w14:paraId="001000C0" w14:textId="001000C1">
            <w:r>
              <w:t xml:space="preserve">样本数N</w:t>
            </w:r>
          </w:p>
        </w:tc>
        <w:tc>
          <w:p w14:paraId="001000C2" w14:textId="001000C3">
            <w:r>
              <w:t xml:space="preserve">相对均方误差</w:t>
            </w:r>
          </w:p>
        </w:tc>
        <w:tc>
          <w:p w14:paraId="001000C4" w14:textId="001000C5">
            <w:r>
              <w:t xml:space="preserve">中位数</w:t>
            </w:r>
          </w:p>
        </w:tc>
        <w:tc>
          <w:p w14:paraId="001000C6" w14:textId="001000C7">
            <w:r>
              <w:t xml:space="preserve">普通SEM</w:t>
            </w:r>
          </w:p>
        </w:tc>
        <w:tc>
          <w:p w14:paraId="001000C8" w14:textId="001000C9">
            <w:r>
              <w:t xml:space="preserve">州聚类SE</w:t>
            </w:r>
          </w:p>
        </w:tc>
        <w:tc>
          <w:p w14:paraId="001000CA" w14:textId="001000CB">
            <w:r>
              <w:t xml:space="preserve">州聚类95%CI</w:t>
            </w:r>
          </w:p>
        </w:tc>
      </w:tr>
      <w:tr>
        <w:trPr/>
        <w:tc>
          <w:p w14:paraId="001000CC" w14:textId="001000CD">
            <w:r>
              <w:t xml:space="preserve">[5,20)</w:t>
            </w:r>
          </w:p>
        </w:tc>
        <w:tc>
          <w:p w14:paraId="001000CE" w14:textId="001000CF">
            <w:r>
              <w:t xml:space="preserve">319</w:t>
            </w:r>
          </w:p>
        </w:tc>
        <w:tc>
          <w:p w14:paraId="001000D0" w14:textId="001000D1">
            <w:r>
              <w:t xml:space="preserve">0.3292</w:t>
            </w:r>
          </w:p>
        </w:tc>
        <w:tc>
          <w:p w14:paraId="001000D2" w14:textId="001000D3">
            <w:r>
              <w:t xml:space="preserve">0.0969</w:t>
            </w:r>
          </w:p>
        </w:tc>
        <w:tc>
          <w:p w14:paraId="001000D4" w14:textId="001000D5">
            <w:r>
              <w:t xml:space="preserve">0.0425</w:t>
            </w:r>
          </w:p>
        </w:tc>
        <w:tc>
          <w:p w14:paraId="001000D6" w14:textId="001000D7">
            <w:r>
              <w:t xml:space="preserve">0.0437</w:t>
            </w:r>
          </w:p>
        </w:tc>
        <w:tc>
          <w:p w14:paraId="001000D8" w14:textId="001000D9">
            <w:r>
              <w:t xml:space="preserve">[0.2435,0.4149]</w:t>
            </w:r>
          </w:p>
        </w:tc>
      </w:tr>
      <w:tr>
        <w:trPr/>
        <w:tc>
          <w:p w14:paraId="001000DA" w14:textId="001000DB">
            <w:r>
              <w:t xml:space="preserve">[20,50)</w:t>
            </w:r>
          </w:p>
        </w:tc>
        <w:tc>
          <w:p w14:paraId="001000DC" w14:textId="001000DD">
            <w:r>
              <w:t xml:space="preserve">297</w:t>
            </w:r>
          </w:p>
        </w:tc>
        <w:tc>
          <w:p w14:paraId="001000DE" w14:textId="001000DF">
            <w:r>
              <w:t xml:space="preserve">0.1605</w:t>
            </w:r>
          </w:p>
        </w:tc>
        <w:tc>
          <w:p w14:paraId="001000E0" w14:textId="001000E1">
            <w:r>
              <w:t xml:space="preserve">0.0596</w:t>
            </w:r>
          </w:p>
        </w:tc>
        <w:tc>
          <w:p w14:paraId="001000E2" w14:textId="001000E3">
            <w:r>
              <w:t xml:space="preserve">0.0169</w:t>
            </w:r>
          </w:p>
        </w:tc>
        <w:tc>
          <w:p w14:paraId="001000E4" w14:textId="001000E5">
            <w:r>
              <w:t xml:space="preserve">0.0189</w:t>
            </w:r>
          </w:p>
        </w:tc>
        <w:tc>
          <w:p w14:paraId="001000E6" w14:textId="001000E7">
            <w:r>
              <w:t xml:space="preserve">[0.1235,0.1974]</w:t>
            </w:r>
          </w:p>
        </w:tc>
      </w:tr>
      <w:tr>
        <w:trPr/>
        <w:tc>
          <w:p w14:paraId="001000E8" w14:textId="001000E9">
            <w:r>
              <w:t xml:space="preserve">[50,100)</w:t>
            </w:r>
          </w:p>
        </w:tc>
        <w:tc>
          <w:p w14:paraId="001000EA" w14:textId="001000EB">
            <w:r>
              <w:t xml:space="preserve">187</w:t>
            </w:r>
          </w:p>
        </w:tc>
        <w:tc>
          <w:p w14:paraId="001000EC" w14:textId="001000ED">
            <w:r>
              <w:t xml:space="preserve">0.1446</w:t>
            </w:r>
          </w:p>
        </w:tc>
        <w:tc>
          <w:p w14:paraId="001000EE" w14:textId="001000EF">
            <w:r>
              <w:t xml:space="preserve">0.0483</w:t>
            </w:r>
          </w:p>
        </w:tc>
        <w:tc>
          <w:p w14:paraId="001000F0" w14:textId="001000F1">
            <w:r>
              <w:t xml:space="preserve">0.0194</w:t>
            </w:r>
          </w:p>
        </w:tc>
        <w:tc>
          <w:p w14:paraId="001000F2" w14:textId="001000F3">
            <w:r>
              <w:t xml:space="preserve">0.0198</w:t>
            </w:r>
          </w:p>
        </w:tc>
        <w:tc>
          <w:p w14:paraId="001000F4" w14:textId="001000F5">
            <w:r>
              <w:t xml:space="preserve">[0.1057,0.1835]</w:t>
            </w:r>
          </w:p>
        </w:tc>
      </w:tr>
      <w:tr>
        <w:trPr/>
        <w:tc>
          <w:p w14:paraId="001000F6" w14:textId="001000F7">
            <w:r>
              <w:t xml:space="preserve">[100,250)</w:t>
            </w:r>
          </w:p>
        </w:tc>
        <w:tc>
          <w:p w14:paraId="001000F8" w14:textId="001000F9">
            <w:r>
              <w:t xml:space="preserve">220</w:t>
            </w:r>
          </w:p>
        </w:tc>
        <w:tc>
          <w:p w14:paraId="001000FA" w14:textId="001000FB">
            <w:r>
              <w:t xml:space="preserve">0.1118</w:t>
            </w:r>
          </w:p>
        </w:tc>
        <w:tc>
          <w:p w14:paraId="001000FC" w14:textId="001000FD">
            <w:r>
              <w:t xml:space="preserve">0.0545</w:t>
            </w:r>
          </w:p>
        </w:tc>
        <w:tc>
          <w:p w14:paraId="001000FE" w14:textId="001000FF">
            <w:r>
              <w:t xml:space="preserve">0.0110</w:t>
            </w:r>
          </w:p>
        </w:tc>
        <w:tc>
          <w:p w14:paraId="00100100" w14:textId="00100101">
            <w:r>
              <w:t xml:space="preserve">0.0114</w:t>
            </w:r>
          </w:p>
        </w:tc>
        <w:tc>
          <w:p w14:paraId="00100102" w14:textId="00100103">
            <w:r>
              <w:t xml:space="preserve">[0.0895,0.1341]</w:t>
            </w:r>
          </w:p>
        </w:tc>
      </w:tr>
      <w:tr>
        <w:trPr/>
        <w:tc>
          <w:p w14:paraId="00100104" w14:textId="00100105">
            <w:r>
              <w:t xml:space="preserve">[250,600)</w:t>
            </w:r>
          </w:p>
        </w:tc>
        <w:tc>
          <w:p w14:paraId="00100106" w14:textId="00100107">
            <w:r>
              <w:t xml:space="preserve">152</w:t>
            </w:r>
          </w:p>
        </w:tc>
        <w:tc>
          <w:p w14:paraId="00100108" w14:textId="00100109">
            <w:r>
              <w:t xml:space="preserve">0.1032</w:t>
            </w:r>
          </w:p>
        </w:tc>
        <w:tc>
          <w:p w14:paraId="0010010A" w14:textId="0010010B">
            <w:r>
              <w:t xml:space="preserve">0.0460</w:t>
            </w:r>
          </w:p>
        </w:tc>
        <w:tc>
          <w:p w14:paraId="0010010C" w14:textId="0010010D">
            <w:r>
              <w:t xml:space="preserve">0.0097</w:t>
            </w:r>
          </w:p>
        </w:tc>
        <w:tc>
          <w:p w14:paraId="0010010E" w14:textId="0010010F">
            <w:r>
              <w:t xml:space="preserve">0.0133</w:t>
            </w:r>
          </w:p>
        </w:tc>
        <w:tc>
          <w:p w14:paraId="00100110" w14:textId="00100111">
            <w:r>
              <w:t xml:space="preserve">[0.0771,0.1293]</w:t>
            </w:r>
          </w:p>
        </w:tc>
      </w:tr>
      <w:tr>
        <w:trPr/>
        <w:tc>
          <w:p w14:paraId="00100112" w14:textId="00100113">
            <w:r>
              <w:t xml:space="preserve">[600,5000)</w:t>
            </w:r>
          </w:p>
        </w:tc>
        <w:tc>
          <w:p w14:paraId="00100114" w14:textId="00100115">
            <w:r>
              <w:t xml:space="preserve">92</w:t>
            </w:r>
          </w:p>
        </w:tc>
        <w:tc>
          <w:p w14:paraId="00100116" w14:textId="00100117">
            <w:r>
              <w:t xml:space="preserve">0.1054</w:t>
            </w:r>
          </w:p>
        </w:tc>
        <w:tc>
          <w:p w14:paraId="00100118" w14:textId="00100119">
            <w:r>
              <w:t xml:space="preserve">0.0735</w:t>
            </w:r>
          </w:p>
        </w:tc>
        <w:tc>
          <w:p w14:paraId="0010011A" w14:textId="0010011B">
            <w:r>
              <w:t xml:space="preserve">0.0109</w:t>
            </w:r>
          </w:p>
        </w:tc>
        <w:tc>
          <w:p w14:paraId="0010011C" w14:textId="0010011D">
            <w:r>
              <w:t xml:space="preserve">0.0146</w:t>
            </w:r>
          </w:p>
        </w:tc>
        <w:tc>
          <w:p w14:paraId="0010011E" w14:textId="0010011F">
            <w:r>
              <w:t xml:space="preserve">[0.0769,0.1340]</w:t>
            </w:r>
          </w:p>
        </w:tc>
      </w:tr>
    </w:tbl>
    <w:p w14:paraId="00100120" w14:textId="00100121">
      <w:pPr>
        <w:spacing w:after="0"/>
        <w:ind w:firstLine="480"/>
      </w:pPr>
      <w:r>
        <w:rPr>
          <w:sz w:val="24"/>
        </w:rPr>
        <w:t xml:space="preserve">FGLS仿射拟合给出规模斜率b=2.2434（聚类bootstrap 95% CI [1.5019, 3.0161]，排除零点），与规模无关经验损失截距a=0.0991，经验交叉点m_×^emp=b/a=22.6例/周（十分位拟合为22.6；截尾1%后移至10.6，属量级估计）。</w:t>
      </w:r>
    </w:p>
    <w:p w14:paraId="00100122" w14:textId="00100123">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4" w14:textId="00100125">
      <w:pPr>
        <w:pStyle w:val="Heading2"/>
        <w:spacing w:before="200" w:after="80"/>
      </w:pPr>
      <w:r>
        <w:rPr>
          <w:b/>
          <w:sz w:val="24"/>
        </w:rPr>
        <w:t xml:space="preserve">5.3检验二：与时变更新过程及时间序列基准的竞争预测性能对照</w:t>
      </w:r>
    </w:p>
    <w:p w14:paraId="00100126" w14:textId="00100127">
      <w:pPr>
        <w:spacing w:after="0"/>
        <w:ind w:firstLine="480"/>
      </w:pPr>
      <w:r>
        <w:rPr>
          <w:sz w:val="24"/>
        </w:rPr>
        <w:t xml:space="preserve">构建基于Cori等[10]滑动窗口更新过程的时变再生数基线（1/2/3周窗）与朴素平移基准C_{t+1}=C_t展开全尺度分箱对拍，结果见表2。</w:t>
      </w:r>
    </w:p>
    <w:p w14:paraId="00100128" w14:textId="00100129">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A" w14:textId="0010012B">
            <w:r>
              <w:t xml:space="preserve">每周有效规模D_t</w:t>
            </w:r>
          </w:p>
        </w:tc>
        <w:tc>
          <w:p w14:paraId="0010012C" w14:textId="0010012D">
            <w:r>
              <w:t xml:space="preserve">样本数N</w:t>
            </w:r>
          </w:p>
        </w:tc>
        <w:tc>
          <w:p w14:paraId="0010012E" w14:textId="0010012F">
            <w:r>
              <w:t xml:space="preserve">阶段均值基准</w:t>
            </w:r>
          </w:p>
        </w:tc>
        <w:tc>
          <w:p w14:paraId="00100130" w14:textId="00100131">
            <w:r>
              <w:t xml:space="preserve">Cori 2周窗基线</w:t>
            </w:r>
          </w:p>
        </w:tc>
        <w:tc>
          <w:p w14:paraId="00100132" w14:textId="00100133">
            <w:r>
              <w:t xml:space="preserve">Cori 3周窗基线</w:t>
            </w:r>
          </w:p>
        </w:tc>
        <w:tc>
          <w:p w14:paraId="00100134" w14:textId="00100135">
            <w:r>
              <w:t xml:space="preserve">朴素平移基线</w:t>
            </w:r>
          </w:p>
        </w:tc>
      </w:tr>
      <w:tr>
        <w:trPr/>
        <w:tc>
          <w:p w14:paraId="00100136" w14:textId="00100137">
            <w:r>
              <w:t xml:space="preserve">[5,20)</w:t>
            </w:r>
          </w:p>
        </w:tc>
        <w:tc>
          <w:p w14:paraId="00100138" w14:textId="00100139">
            <w:r>
              <w:t xml:space="preserve">319</w:t>
            </w:r>
          </w:p>
        </w:tc>
        <w:tc>
          <w:p w14:paraId="0010013A" w14:textId="0010013B">
            <w:r>
              <w:t xml:space="preserve">0.3292</w:t>
            </w:r>
          </w:p>
        </w:tc>
        <w:tc>
          <w:p w14:paraId="0010013C" w14:textId="0010013D">
            <w:r>
              <w:t xml:space="preserve">0.6576</w:t>
            </w:r>
          </w:p>
        </w:tc>
        <w:tc>
          <w:p w14:paraId="0010013E" w14:textId="0010013F">
            <w:r>
              <w:t xml:space="preserve">0.5606</w:t>
            </w:r>
          </w:p>
        </w:tc>
        <w:tc>
          <w:p w14:paraId="00100140" w14:textId="00100141">
            <w:r>
              <w:t xml:space="preserve">1.2563</w:t>
            </w:r>
          </w:p>
        </w:tc>
      </w:tr>
      <w:tr>
        <w:trPr/>
        <w:tc>
          <w:p w14:paraId="00100142" w14:textId="00100143">
            <w:r>
              <w:t xml:space="preserve">[20,50)</w:t>
            </w:r>
          </w:p>
        </w:tc>
        <w:tc>
          <w:p w14:paraId="00100144" w14:textId="00100145">
            <w:r>
              <w:t xml:space="preserve">297</w:t>
            </w:r>
          </w:p>
        </w:tc>
        <w:tc>
          <w:p w14:paraId="00100146" w14:textId="00100147">
            <w:r>
              <w:t xml:space="preserve">0.1605</w:t>
            </w:r>
          </w:p>
        </w:tc>
        <w:tc>
          <w:p w14:paraId="00100148" w14:textId="00100149">
            <w:r>
              <w:t xml:space="preserve">0.2576</w:t>
            </w:r>
          </w:p>
        </w:tc>
        <w:tc>
          <w:p w14:paraId="0010014A" w14:textId="0010014B">
            <w:r>
              <w:t xml:space="preserve">0.2288</w:t>
            </w:r>
          </w:p>
        </w:tc>
        <w:tc>
          <w:p w14:paraId="0010014C" w14:textId="0010014D">
            <w:r>
              <w:t xml:space="preserve">0.5528</w:t>
            </w:r>
          </w:p>
        </w:tc>
      </w:tr>
      <w:tr>
        <w:trPr/>
        <w:tc>
          <w:p w14:paraId="0010014E" w14:textId="0010014F">
            <w:r>
              <w:t xml:space="preserve">[50,100)</w:t>
            </w:r>
          </w:p>
        </w:tc>
        <w:tc>
          <w:p w14:paraId="00100150" w14:textId="00100151">
            <w:r>
              <w:t xml:space="preserve">187</w:t>
            </w:r>
          </w:p>
        </w:tc>
        <w:tc>
          <w:p w14:paraId="00100152" w14:textId="00100153">
            <w:r>
              <w:t xml:space="preserve">0.1446</w:t>
            </w:r>
          </w:p>
        </w:tc>
        <w:tc>
          <w:p w14:paraId="00100154" w14:textId="00100155">
            <w:r>
              <w:t xml:space="preserve">0.2271</w:t>
            </w:r>
          </w:p>
        </w:tc>
        <w:tc>
          <w:p w14:paraId="00100156" w14:textId="00100157">
            <w:r>
              <w:t xml:space="preserve">0.1680</w:t>
            </w:r>
          </w:p>
        </w:tc>
        <w:tc>
          <w:p w14:paraId="00100158" w14:textId="00100159">
            <w:r>
              <w:t xml:space="preserve">0.5639</w:t>
            </w:r>
          </w:p>
        </w:tc>
      </w:tr>
      <w:tr>
        <w:trPr/>
        <w:tc>
          <w:p w14:paraId="0010015A" w14:textId="0010015B">
            <w:r>
              <w:t xml:space="preserve">[100,250)</w:t>
            </w:r>
          </w:p>
        </w:tc>
        <w:tc>
          <w:p w14:paraId="0010015C" w14:textId="0010015D">
            <w:r>
              <w:t xml:space="preserve">220</w:t>
            </w:r>
          </w:p>
        </w:tc>
        <w:tc>
          <w:p w14:paraId="0010015E" w14:textId="0010015F">
            <w:r>
              <w:t xml:space="preserve">0.1118</w:t>
            </w:r>
          </w:p>
        </w:tc>
        <w:tc>
          <w:p w14:paraId="00100160" w14:textId="00100161">
            <w:r>
              <w:t xml:space="preserve">0.0903</w:t>
            </w:r>
          </w:p>
        </w:tc>
        <w:tc>
          <w:p w14:paraId="00100162" w14:textId="00100163">
            <w:r>
              <w:t xml:space="preserve">0.0870</w:t>
            </w:r>
          </w:p>
        </w:tc>
        <w:tc>
          <w:p w14:paraId="00100164" w14:textId="00100165">
            <w:r>
              <w:t xml:space="preserve">0.3999</w:t>
            </w:r>
          </w:p>
        </w:tc>
      </w:tr>
      <w:tr>
        <w:trPr/>
        <w:tc>
          <w:p w14:paraId="00100166" w14:textId="00100167">
            <w:r>
              <w:t xml:space="preserve">[250,600)</w:t>
            </w:r>
          </w:p>
        </w:tc>
        <w:tc>
          <w:p w14:paraId="00100168" w14:textId="00100169">
            <w:r>
              <w:t xml:space="preserve">152</w:t>
            </w:r>
          </w:p>
        </w:tc>
        <w:tc>
          <w:p w14:paraId="0010016A" w14:textId="0010016B">
            <w:r>
              <w:t xml:space="preserve">0.1032</w:t>
            </w:r>
          </w:p>
        </w:tc>
        <w:tc>
          <w:p w14:paraId="0010016C" w14:textId="0010016D">
            <w:r>
              <w:t xml:space="preserve">0.0975</w:t>
            </w:r>
          </w:p>
        </w:tc>
        <w:tc>
          <w:p w14:paraId="0010016E" w14:textId="0010016F">
            <w:r>
              <w:t xml:space="preserve">0.0903</w:t>
            </w:r>
          </w:p>
        </w:tc>
        <w:tc>
          <w:p w14:paraId="00100170" w14:textId="00100171">
            <w:r>
              <w:t xml:space="preserve">0.2356</w:t>
            </w:r>
          </w:p>
        </w:tc>
      </w:tr>
      <w:tr>
        <w:trPr/>
        <w:tc>
          <w:p w14:paraId="00100172" w14:textId="00100173">
            <w:r>
              <w:t xml:space="preserve">[600,5000)</w:t>
            </w:r>
          </w:p>
        </w:tc>
        <w:tc>
          <w:p w14:paraId="00100174" w14:textId="00100175">
            <w:r>
              <w:t xml:space="preserve">92</w:t>
            </w:r>
          </w:p>
        </w:tc>
        <w:tc>
          <w:p w14:paraId="00100176" w14:textId="00100177">
            <w:r>
              <w:t xml:space="preserve">0.1054</w:t>
            </w:r>
          </w:p>
        </w:tc>
        <w:tc>
          <w:p w14:paraId="00100178" w14:textId="00100179">
            <w:r>
              <w:t xml:space="preserve">0.0983</w:t>
            </w:r>
          </w:p>
        </w:tc>
        <w:tc>
          <w:p w14:paraId="0010017A" w14:textId="0010017B">
            <w:r>
              <w:t xml:space="preserve">0.0982</w:t>
            </w:r>
          </w:p>
        </w:tc>
        <w:tc>
          <w:p w14:paraId="0010017C" w14:textId="0010017D">
            <w:r>
              <w:t xml:space="preserve">0.1360</w:t>
            </w:r>
          </w:p>
        </w:tc>
      </w:tr>
      <w:tr>
        <w:trPr/>
        <w:tc>
          <w:p w14:paraId="0010017E" w14:textId="0010017F">
            <w:r>
              <w:t xml:space="preserve">全体样本均值</w:t>
            </w:r>
          </w:p>
        </w:tc>
        <w:tc>
          <w:p w14:paraId="00100180" w14:textId="00100181">
            <w:r>
              <w:t xml:space="preserve">1267</w:t>
            </w:r>
          </w:p>
        </w:tc>
        <w:tc>
          <w:p w14:paraId="00100182" w14:textId="00100183">
            <w:r>
              <w:t xml:space="preserve">0.1813</w:t>
            </w:r>
          </w:p>
        </w:tc>
        <w:tc>
          <w:p w14:paraId="00100184" w14:textId="00100185">
            <w:r>
              <w:t xml:space="preserve">0.2876</w:t>
            </w:r>
          </w:p>
        </w:tc>
        <w:tc>
          <w:p w14:paraId="00100186" w14:textId="00100187">
            <w:r>
              <w:t xml:space="preserve">0.2490</w:t>
            </w:r>
          </w:p>
        </w:tc>
        <w:tc>
          <w:p w14:paraId="00100188" w14:textId="00100189">
            <w:r>
              <w:t xml:space="preserve">0.6367</w:t>
            </w:r>
          </w:p>
        </w:tc>
      </w:tr>
      <w:tr>
        <w:trPr/>
        <w:tc>
          <w:p w14:paraId="0010018A" w14:textId="0010018B">
            <w:r>
              <w:t xml:space="preserve">全体样本中位数</w:t>
            </w:r>
          </w:p>
        </w:tc>
        <w:tc>
          <w:p w14:paraId="0010018C" w14:textId="0010018D">
            <w:r>
              <w:t xml:space="preserve">1267</w:t>
            </w:r>
          </w:p>
        </w:tc>
        <w:tc>
          <w:p w14:paraId="0010018E" w14:textId="0010018F">
            <w:r>
              <w:t xml:space="preserve">0.0653</w:t>
            </w:r>
          </w:p>
        </w:tc>
        <w:tc>
          <w:p w14:paraId="00100190" w14:textId="00100191">
            <w:r>
              <w:t xml:space="preserve">0.0658</w:t>
            </w:r>
          </w:p>
        </w:tc>
        <w:tc>
          <w:p w14:paraId="00100192" w14:textId="00100193">
            <w:r>
              <w:t xml:space="preserve">0.0626</w:t>
            </w:r>
          </w:p>
        </w:tc>
        <w:tc>
          <w:p w14:paraId="00100194" w14:textId="00100195">
            <w:r>
              <w:t xml:space="preserve">0.1732</w:t>
            </w:r>
          </w:p>
        </w:tc>
      </w:tr>
    </w:tbl>
    <w:p w14:paraId="00100196" w14:textId="00100197">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误差均随病例规模呈现递减形态并在大规模段趋缓，而具体点位取决于基准构造。</w:t>
      </w:r>
    </w:p>
    <w:p w14:paraId="00100198" w14:textId="00100199">
      <w:pPr>
        <w:pStyle w:val="Heading2"/>
        <w:spacing w:before="200" w:after="80"/>
      </w:pPr>
      <w:r>
        <w:rPr>
          <w:b/>
          <w:sz w:val="24"/>
        </w:rPr>
        <w:t xml:space="preserve">5.4检验三：达峰与回落期的反证边界——平稳基准破缺而非规模失效</w:t>
      </w:r>
    </w:p>
    <w:p w14:paraId="0010019A" w14:textId="0010019B">
      <w:pPr>
        <w:spacing w:after="0"/>
        <w:ind w:firstLine="480"/>
      </w:pPr>
      <w:r>
        <w:rPr>
          <w:sz w:val="24"/>
        </w:rPr>
        <w:t xml:space="preserve">以初期平稳基准预测达峰期（N=1,220）时，分组误差见表3与图4(c)。</w:t>
      </w:r>
    </w:p>
    <w:p w14:paraId="0010019C" w14:textId="0010019D">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9E" w14:textId="0010019F">
            <w:r>
              <w:t xml:space="preserve">每周有效规模D_t</w:t>
            </w:r>
          </w:p>
        </w:tc>
        <w:tc>
          <w:p w14:paraId="001001A0" w14:textId="001001A1">
            <w:r>
              <w:t xml:space="preserve">样本数N</w:t>
            </w:r>
          </w:p>
        </w:tc>
        <w:tc>
          <w:p w14:paraId="001001A2" w14:textId="001001A3">
            <w:r>
              <w:t xml:space="preserve">相对均方误差</w:t>
            </w:r>
          </w:p>
        </w:tc>
        <w:tc>
          <w:p w14:paraId="001001A4" w14:textId="001001A5">
            <w:r>
              <w:t xml:space="preserve">中位数</w:t>
            </w:r>
          </w:p>
        </w:tc>
      </w:tr>
      <w:tr>
        <w:trPr/>
        <w:tc>
          <w:p w14:paraId="001001A6" w14:textId="001001A7">
            <w:r>
              <w:t xml:space="preserve">[5, 20)</w:t>
            </w:r>
          </w:p>
        </w:tc>
        <w:tc>
          <w:p w14:paraId="001001A8" w14:textId="001001A9">
            <w:r>
              <w:t xml:space="preserve">33</w:t>
            </w:r>
          </w:p>
        </w:tc>
        <w:tc>
          <w:p w14:paraId="001001AA" w14:textId="001001AB">
            <w:r>
              <w:t xml:space="preserve">0.2998</w:t>
            </w:r>
          </w:p>
        </w:tc>
        <w:tc>
          <w:p w14:paraId="001001AC" w14:textId="001001AD">
            <w:r>
              <w:t xml:space="preserve">0.2361</w:t>
            </w:r>
          </w:p>
        </w:tc>
      </w:tr>
      <w:tr>
        <w:trPr/>
        <w:tc>
          <w:p w14:paraId="001001AE" w14:textId="001001AF">
            <w:r>
              <w:t xml:space="preserve">[20, 50)</w:t>
            </w:r>
          </w:p>
        </w:tc>
        <w:tc>
          <w:p w14:paraId="001001B0" w14:textId="001001B1">
            <w:r>
              <w:t xml:space="preserve">140</w:t>
            </w:r>
          </w:p>
        </w:tc>
        <w:tc>
          <w:p w14:paraId="001001B2" w14:textId="001001B3">
            <w:r>
              <w:t xml:space="preserve">0.2927</w:t>
            </w:r>
          </w:p>
        </w:tc>
        <w:tc>
          <w:p w14:paraId="001001B4" w14:textId="001001B5">
            <w:r>
              <w:t xml:space="preserve">0.2591</w:t>
            </w:r>
          </w:p>
        </w:tc>
      </w:tr>
      <w:tr>
        <w:trPr/>
        <w:tc>
          <w:p w14:paraId="001001B6" w14:textId="001001B7">
            <w:r>
              <w:t xml:space="preserve">[50, 100)</w:t>
            </w:r>
          </w:p>
        </w:tc>
        <w:tc>
          <w:p w14:paraId="001001B8" w14:textId="001001B9">
            <w:r>
              <w:t xml:space="preserve">162</w:t>
            </w:r>
          </w:p>
        </w:tc>
        <w:tc>
          <w:p w14:paraId="001001BA" w14:textId="001001BB">
            <w:r>
              <w:t xml:space="preserve">0.3120</w:t>
            </w:r>
          </w:p>
        </w:tc>
        <w:tc>
          <w:p w14:paraId="001001BC" w14:textId="001001BD">
            <w:r>
              <w:t xml:space="preserve">0.3085</w:t>
            </w:r>
          </w:p>
        </w:tc>
      </w:tr>
      <w:tr>
        <w:trPr/>
        <w:tc>
          <w:p w14:paraId="001001BE" w14:textId="001001BF">
            <w:r>
              <w:t xml:space="preserve">[100, 250)</w:t>
            </w:r>
          </w:p>
        </w:tc>
        <w:tc>
          <w:p w14:paraId="001001C0" w14:textId="001001C1">
            <w:r>
              <w:t xml:space="preserve">312</w:t>
            </w:r>
          </w:p>
        </w:tc>
        <w:tc>
          <w:p w14:paraId="001001C2" w14:textId="001001C3">
            <w:r>
              <w:t xml:space="preserve">0.3049</w:t>
            </w:r>
          </w:p>
        </w:tc>
        <w:tc>
          <w:p w14:paraId="001001C4" w14:textId="001001C5">
            <w:r>
              <w:t xml:space="preserve">0.3005</w:t>
            </w:r>
          </w:p>
        </w:tc>
      </w:tr>
      <w:tr>
        <w:trPr/>
        <w:tc>
          <w:p w14:paraId="001001C6" w14:textId="001001C7">
            <w:r>
              <w:t xml:space="preserve">[250, 600)</w:t>
            </w:r>
          </w:p>
        </w:tc>
        <w:tc>
          <w:p w14:paraId="001001C8" w14:textId="001001C9">
            <w:r>
              <w:t xml:space="preserve">311</w:t>
            </w:r>
          </w:p>
        </w:tc>
        <w:tc>
          <w:p w14:paraId="001001CA" w14:textId="001001CB">
            <w:r>
              <w:t xml:space="preserve">0.2998</w:t>
            </w:r>
          </w:p>
        </w:tc>
        <w:tc>
          <w:p w14:paraId="001001CC" w14:textId="001001CD">
            <w:r>
              <w:t xml:space="preserve">0.2976</w:t>
            </w:r>
          </w:p>
        </w:tc>
      </w:tr>
      <w:tr>
        <w:trPr/>
        <w:tc>
          <w:p w14:paraId="001001CE" w14:textId="001001CF">
            <w:r>
              <w:t xml:space="preserve">[600, 5000)</w:t>
            </w:r>
          </w:p>
        </w:tc>
        <w:tc>
          <w:p w14:paraId="001001D0" w14:textId="001001D1">
            <w:r>
              <w:t xml:space="preserve">262</w:t>
            </w:r>
          </w:p>
        </w:tc>
        <w:tc>
          <w:p w14:paraId="001001D2" w14:textId="001001D3">
            <w:r>
              <w:t xml:space="preserve">0.2916</w:t>
            </w:r>
          </w:p>
        </w:tc>
        <w:tc>
          <w:p w14:paraId="001001D4" w14:textId="001001D5">
            <w:r>
              <w:t xml:space="preserve">0.2987</w:t>
            </w:r>
          </w:p>
        </w:tc>
      </w:tr>
    </w:tbl>
    <w:p w14:paraId="001001D6" w14:textId="001001D7">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8" w14:textId="001001D9">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A" w14:textId="001001DB">
            <w:r>
              <w:t xml:space="preserve">损失口径</w:t>
            </w:r>
          </w:p>
        </w:tc>
        <w:tc>
          <w:p w14:paraId="001001DC" w14:textId="001001DD">
            <w:r>
              <w:t xml:space="preserve">初期b</w:t>
            </w:r>
          </w:p>
        </w:tc>
        <w:tc>
          <w:p w14:paraId="001001DE" w14:textId="001001DF">
            <w:r>
              <w:t xml:space="preserve">达峰期b</w:t>
            </w:r>
          </w:p>
        </w:tc>
        <w:tc>
          <w:p w14:paraId="001001E0" w14:textId="001001E1">
            <w:r>
              <w:t xml:space="preserve">回答的问题</w:t>
            </w:r>
          </w:p>
        </w:tc>
      </w:tr>
      <w:tr>
        <w:trPr/>
        <w:tc>
          <w:p w14:paraId="001001E2" w14:textId="001001E3">
            <w:r>
              <w:t xml:space="preserve">未归一化损失</w:t>
            </w:r>
          </w:p>
        </w:tc>
        <w:tc>
          <w:p w14:paraId="001001E4" w14:textId="001001E5">
            <w:r>
              <w:t xml:space="preserve">6.2611</w:t>
            </w:r>
          </w:p>
        </w:tc>
        <w:tc>
          <w:p w14:paraId="001001E6" w14:textId="001001E7">
            <w:r>
              <w:t xml:space="preserve">5.1690</w:t>
            </w:r>
          </w:p>
        </w:tc>
        <w:tc>
          <w:p w14:paraId="001001E8" w14:textId="001001E9">
            <w:r>
              <w:t xml:space="preserve">增长代理的绝对误差规模</w:t>
            </w:r>
          </w:p>
        </w:tc>
      </w:tr>
      <w:tr>
        <w:trPr/>
        <w:tc>
          <w:p w14:paraId="001001EA" w14:textId="001001EB">
            <w:r>
              <w:t xml:space="preserve">共同分母归一化</w:t>
            </w:r>
          </w:p>
        </w:tc>
        <w:tc>
          <w:p w14:paraId="001001EC" w14:textId="001001ED">
            <w:r>
              <w:t xml:space="preserve">2.2434</w:t>
            </w:r>
          </w:p>
        </w:tc>
        <w:tc>
          <w:p w14:paraId="001001EE" w14:textId="001001EF">
            <w:r>
              <w:t xml:space="preserve">1.8521</w:t>
            </w:r>
          </w:p>
        </w:tc>
        <w:tc>
          <w:p w14:paraId="001001F0" w14:textId="001001F1">
            <w:r>
              <w:t xml:space="preserve">同一相对尺度下的阶段差异</w:t>
            </w:r>
          </w:p>
        </w:tc>
      </w:tr>
      <w:tr>
        <w:trPr/>
        <w:tc>
          <w:p w14:paraId="001001F2" w14:textId="001001F3">
            <w:r>
              <w:t xml:space="preserve">各阶段均值归一化</w:t>
            </w:r>
          </w:p>
        </w:tc>
        <w:tc>
          <w:p w14:paraId="001001F4" w14:textId="001001F5">
            <w:r>
              <w:t xml:space="preserve">2.2434</w:t>
            </w:r>
          </w:p>
        </w:tc>
        <w:tc>
          <w:p w14:paraId="001001F6" w14:textId="001001F7">
            <w:r>
              <w:t xml:space="preserve">7.9272</w:t>
            </w:r>
          </w:p>
        </w:tc>
        <w:tc>
          <w:p w14:paraId="001001F8" w14:textId="001001F9">
            <w:r>
              <w:t xml:space="preserve">各阶段相对自身基准的误差</w:t>
            </w:r>
          </w:p>
        </w:tc>
      </w:tr>
    </w:tbl>
    <w:p w14:paraId="001001FA" w14:textId="001001FB">
      <w:pPr>
        <w:spacing w:after="0"/>
        <w:ind w:firstLine="480"/>
      </w:pPr>
      <w:r>
        <w:rPr>
          <w:sz w:val="24"/>
        </w:rPr>
        <w:t xml:space="preserve">表4显示：统一尺度后达峰期斜率点估计（1.8521）低于初期，联合交互项（-0.9183，按州聚类bootstrap 95%CI为[-2.33, 0.59]）包含零点且未达统计显著；结合达峰期总体样本中基准偏移项占总损失88.9%的分解证据，表明达峰期预测误差居高不下主要源于跨期平稳性假设失效，而非病例规模项丧失边际贡献。</w:t>
      </w:r>
    </w:p>
    <w:p w14:paraId="001001FC" w14:textId="001001FD">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e93a8c0108d84ad7" cstate="print"/>
                    <a:stretch>
                      <a:fillRect/>
                    </a:stretch>
                  </pic:blipFill>
                  <pic:spPr>
                    <a:xfrm>
                      <a:off x="0" y="0"/>
                      <a:ext cx="5303520" cy="3875596"/>
                    </a:xfrm>
                    <a:prstGeom prst="rect">
                      <a:avLst/>
                    </a:prstGeom>
                  </pic:spPr>
                </pic:pic>
              </a:graphicData>
            </a:graphic>
          </wp:inline>
        </w:drawing>
      </w:r>
    </w:p>
    <w:p w14:paraId="001001FE" w14:textId="001001FF">
      <w:pPr>
        <w:spacing w:before="40" w:after="240"/>
        <w:jc w:val="center"/>
      </w:pPr>
      <w:r>
        <w:rPr>
          <w:b/>
          <w:sz w:val="21"/>
        </w:rPr>
        <w:t xml:space="preserve">图4 全美CDC NHSN流感住院真实监测数据实证与反证检验</w:t>
      </w:r>
    </w:p>
    <w:p w14:paraId="00100200" w14:textId="00100201">
      <w:pPr>
        <w:pStyle w:val="Heading2"/>
        <w:spacing w:before="200" w:after="80"/>
      </w:pPr>
      <w:r>
        <w:rPr>
          <w:b/>
          <w:sz w:val="24"/>
        </w:rPr>
        <w:t xml:space="preserve">5.5检验四：变量误差敏感性检验与分季独立2SLS工具变量估计</w:t>
      </w:r>
    </w:p>
    <w:p w14:paraId="00100202" w14:textId="00100203">
      <w:pPr>
        <w:spacing w:after="0"/>
        <w:ind w:firstLine="480"/>
      </w:pPr>
      <w:r>
        <w:rPr>
          <w:sz w:val="24"/>
        </w:rPr>
        <w:t xml:space="preserve">以滞后3–5周输入核为工具变量开展2SLS回归：汇集样本中第一阶段稳健F=312.9，第二阶段差值(b_iv - b_ols)=1.3921，10,000次聚类bootstrap 95%CI为[0.43, 2.41]（bootstrap单侧比例0.0014，排除零点），表明汇集样本下2SLS估计斜率高于OLS。分季独立检验中，各季节第一阶段稳健F均在75以上（强工具），b_iv均显著为正（2022–23季3.2787,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3.47]）。鉴于排除限制难以在理论上绝对保证，该对照定位为说明变量误差不改变规模效应正向存在的稳健性对照。在唯象示例参数设定下导出理论交叉点约 21–49 例（m_×≈21.3–49.3，基于Zhou等[35]住院负担点估计与Tokars等[38]侵袭率折算每例有症状感染住院比例ρ∈[0.0056, 0.021]）；未归一化绝对方差水平上规模无关项与相关项（约0.28与6.3）高于纯理论设定，但比值与理论交叉点数量级相容，重在比值形态一致性。</w:t>
      </w:r>
    </w:p>
    <w:p w14:paraId="00100204" w14:textId="00100205">
      <w:pPr>
        <w:pStyle w:val="Heading2"/>
        <w:spacing w:before="200" w:after="80"/>
      </w:pPr>
      <w:r>
        <w:rPr>
          <w:b/>
          <w:sz w:val="24"/>
        </w:rPr>
        <w:t xml:space="preserve">5.6检验五：报告政策切换冲击的尾部放大效应与空间加总权衡</w:t>
      </w:r>
    </w:p>
    <w:p w14:paraId="00100206" w14:textId="00100207">
      <w:pPr>
        <w:spacing w:after="0"/>
        <w:ind w:firstLine="480"/>
      </w:pPr>
      <w:r>
        <w:rPr>
          <w:sz w:val="24"/>
        </w:rPr>
        <w:t xml:space="preserve">自愿填报期标准差由法定强制子段的0.620跃升至1.823（扩张194%），偏度由3.45暴增至14.98，但主体IQR与MAD保持稳定（图4d对数轴箱线图），与二项抽稀机制放大右尾的理论方向相容；鉴于覆盖率不等同于事件级抽样概率且自愿期与夏季低发期重叠，定位为相容的描述性证据。全美加总序列相对误差降至0.0348（约为单州平台的三分之一），展示了国家层面空间汇聚与属地化预警之间的权衡边界。</w:t>
      </w:r>
    </w:p>
    <w:p w14:paraId="00100208" w14:textId="00100209">
      <w:pPr>
        <w:pStyle w:val="Heading1"/>
        <w:spacing w:before="280" w:after="120"/>
      </w:pPr>
      <w:r>
        <w:rPr>
          <w:b/>
          <w:sz w:val="28"/>
        </w:rPr>
        <w:t xml:space="preserve">6讨论与政策启示</w:t>
      </w:r>
    </w:p>
    <w:p w14:paraId="0010020A" w14:textId="0010020B">
      <w:pPr>
        <w:pStyle w:val="Heading2"/>
        <w:spacing w:before="200" w:after="80"/>
      </w:pPr>
      <w:r>
        <w:rPr>
          <w:b/>
          <w:sz w:val="24"/>
        </w:rPr>
        <w:t xml:space="preserve">6.1机制讨论与理论对话</w:t>
      </w:r>
    </w:p>
    <w:p w14:paraId="0010020C" w14:textId="0010020D">
      <w:pPr>
        <w:spacing w:after="0"/>
        <w:ind w:firstLine="480"/>
      </w:pPr>
      <w:r>
        <w:rPr>
          <w:sz w:val="24"/>
        </w:rPr>
        <w:t xml:space="preserve">本文分析了病例规模对传染病监测推断的影响。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方差分解的代数形式上恰对应单期信度比等于0.5的对称位置[24,25]。</w:t>
      </w:r>
    </w:p>
    <w:p w14:paraId="0010020E" w14:textId="0010020F">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0" w14:textId="00100211">
      <w:pPr>
        <w:pStyle w:val="Heading2"/>
        <w:spacing w:before="200" w:after="80"/>
      </w:pPr>
      <w:r>
        <w:rPr>
          <w:b/>
          <w:sz w:val="24"/>
        </w:rPr>
        <w:t xml:space="preserve">6.2研究局限与审慎边界</w:t>
      </w:r>
    </w:p>
    <w:p w14:paraId="00100212" w14:textId="00100213">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不确定性，本文明确将其定性为经验损失下限而非环境方差的孤立识别；(3)因果推断的解释边界：自愿期覆盖率冲击与夏季低发期重叠，定位为相容的描述性证据；工具变量定位为稳健性对照。</w:t>
      </w:r>
    </w:p>
    <w:p w14:paraId="00100214" w14:textId="00100215">
      <w:pPr>
        <w:pStyle w:val="Heading2"/>
        <w:spacing w:before="200" w:after="80"/>
      </w:pPr>
      <w:r>
        <w:rPr>
          <w:b/>
          <w:sz w:val="24"/>
        </w:rPr>
        <w:t xml:space="preserve">6.3结论</w:t>
      </w:r>
    </w:p>
    <w:p w14:paraId="00100216" w14:textId="00100217">
      <w:pPr>
        <w:spacing w:after="0"/>
        <w:ind w:firstLine="480"/>
      </w:pPr>
      <w:r>
        <w:rPr>
          <w:sz w:val="24"/>
        </w:rPr>
        <w:t xml:space="preserve">本文构建了负二项分支过程与二项报告模型，分析了疫情监测中病例规模的推断收益边界。理论推导表明，推断跨期基准时存在由环境方差决定的交叉点，同时揭示了报告率与样本基数的非对称作用及成本约束下的权衡。全美 CDC NHSN 周度流感住院数据检验与该理论形态一致。结果显示规模收益真实存在但在达到数十例后明显放缓，各基准下约四至五成半（39%—55%）的误差份额落在与规模无关的拟合项上。未来可进一步结合气象行为协变量与状态空间滤波，拓展多毒株共存场景下的监测设计。</w:t>
      </w:r>
    </w:p>
    <w:p w14:paraId="00100218" w14:textId="00100219">
      <w:pPr>
        <w:pStyle w:val="Heading1"/>
        <w:spacing w:before="280" w:after="120"/>
      </w:pPr>
      <w:r>
        <w:rPr>
          <w:b/>
          <w:sz w:val="28"/>
        </w:rPr>
        <w:t xml:space="preserve">数据与代码可用性声明</w:t>
      </w:r>
    </w:p>
    <w:p w14:paraId="0010021A" w14:textId="0010021B">
      <w:pPr>
        <w:spacing w:after="0"/>
        <w:ind w:firstLine="480"/>
      </w:pPr>
      <w:r>
        <w:rPr>
          <w:sz w:val="24"/>
        </w:rPr>
        <w:t xml:space="preserve">本文实证所用的全美各州周度流感住院监测数据来源于美国疾病控制与预防中心国家医疗保健安全网（CDC NHSN）公开数据库[37]（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C" w14:textId="0010021D">
      <w:pPr>
        <w:pStyle w:val="Heading1"/>
        <w:spacing w:before="280" w:after="120"/>
      </w:pPr>
      <w:r>
        <w:rPr>
          <w:b/>
          <w:sz w:val="28"/>
        </w:rPr>
        <w:t xml:space="preserve">参考文献</w:t>
      </w:r>
    </w:p>
    <w:p w14:paraId="0010021E" w14:textId="0010021F">
      <w:pPr>
        <w:spacing w:after="60"/>
      </w:pPr>
      <w:r>
        <w:rPr>
          <w:sz w:val="21"/>
        </w:rPr>
        <w:t xml:space="preserve">[1] Lloyd-Smith James O, Schreiber Sebastian J, Kopp P Ekkehard, et al. Superspreading and the effect of individual variation on disease emergence. Nature, 2005, 438(7066): 355-359. DOI: 10.1038/nature04153.</w:t>
      </w:r>
    </w:p>
    <w:p w14:paraId="00100220" w14:textId="00100221">
      <w:pPr>
        <w:spacing w:after="60"/>
      </w:pPr>
      <w:r>
        <w:rPr>
          <w:sz w:val="21"/>
        </w:rPr>
        <w:t xml:space="preserve">[2] Endo Akira, Abbott Sam, Kucharski Adam J, et al. Estimating the overdispersion in COVID-19 transmission using outbreak sizes outside China. Wellcome Open Research, 2020, 5: 67. DOI: 10.12688/wellcomeopenres.15842.3.</w:t>
      </w:r>
    </w:p>
    <w:p w14:paraId="00100222" w14:textId="00100223">
      <w:pPr>
        <w:spacing w:after="60"/>
      </w:pPr>
      <w:r>
        <w:rPr>
          <w:sz w:val="21"/>
        </w:rPr>
        <w:t xml:space="preserve">[3] Azmon A, Faes C, Hens N. On the estimation of the reproduction number based on misreported epidemic data. Statistics in Medicine, 2014, 33(7): 1176-1192. DOI: 10.1002/sim.6015.</w:t>
      </w:r>
    </w:p>
    <w:p w14:paraId="00100224" w14:textId="00100225">
      <w:pPr>
        <w:spacing w:after="60"/>
      </w:pPr>
      <w:r>
        <w:rPr>
          <w:sz w:val="21"/>
        </w:rPr>
        <w:t xml:space="preserve">[4] Stoner Oliver, Economou Theo, Drummond Marques da Silva Gabriela. A hierarchical framework for correcting under-reporting in count data. Journal of the American Statistical Association, 2019, 114(528): 1481-1492. DOI: 10.1080/01621459.2019.1573732.</w:t>
      </w:r>
    </w:p>
    <w:p w14:paraId="00100226" w14:textId="00100227">
      <w:pPr>
        <w:spacing w:after="60"/>
      </w:pPr>
      <w:r>
        <w:rPr>
          <w:sz w:val="21"/>
        </w:rPr>
        <w:t xml:space="preserve">[5] Rasmussen David A, Ratmann Oliver, Koelle Katia. Inference for nonlinear epidemiological models using genealogies and time series. PLOS Computational Biology, 2011, 7(8): e1002136. DOI: 10.1371/journal.pcbi.1002136.</w:t>
      </w:r>
    </w:p>
    <w:p w14:paraId="00100228" w14:textId="00100229">
      <w:pPr>
        <w:spacing w:after="60"/>
      </w:pPr>
      <w:r>
        <w:rPr>
          <w:sz w:val="21"/>
        </w:rPr>
        <w:t xml:space="preserve">[6] Dalziel Benjamin D, Kissler Stephen, Gog Julia R, et al. Urbanization and humidity shape the intensity of influenza epidemics in U.S. cities. Science, 2018, 362(6410): 75-79. DOI: 10.1126/science.aat6030.</w:t>
      </w:r>
    </w:p>
    <w:p w14:paraId="0010022A" w14:textId="0010022B">
      <w:pPr>
        <w:spacing w:after="60"/>
      </w:pPr>
      <w:r>
        <w:rPr>
          <w:sz w:val="21"/>
        </w:rPr>
        <w:t xml:space="preserve">[7] Kucharski Adam J, Russell Timothy W, Diamond Charlie, et al. Early dynamics of transmission and control of COVID-19: a mathematical modelling study. The Lancet Infectious Diseases, 2020, 20(5): 553-558. DOI: 10.1016/S1473-3099(20)30144-4.</w:t>
      </w:r>
    </w:p>
    <w:p w14:paraId="0010022C" w14:textId="0010022D">
      <w:pPr>
        <w:spacing w:after="60"/>
      </w:pPr>
      <w:r>
        <w:rPr>
          <w:sz w:val="21"/>
        </w:rPr>
        <w:t xml:space="preserve">[8] Wallinga Jacco, Teunis Peter. Different epidemic curves for severe acute respiratory syndrome reveal similar impacts of control measures. American Journal of Epidemiology, 2004, 160(6): 509-516. DOI: 10.1093/aje/kwh255.</w:t>
      </w:r>
    </w:p>
    <w:p w14:paraId="0010022E" w14:textId="0010022F">
      <w:pPr>
        <w:spacing w:after="60"/>
      </w:pPr>
      <w:r>
        <w:rPr>
          <w:sz w:val="21"/>
        </w:rPr>
        <w:t xml:space="preserve">[9] Fraser Christophe. Estimating individual and household reproduction numbers in an emerging epidemic. PLOS ONE, 2007, 2(8): e758. DOI: 10.1371/journal.pone.0000758.</w:t>
      </w:r>
    </w:p>
    <w:p w14:paraId="00100230" w14:textId="00100231">
      <w:pPr>
        <w:spacing w:after="60"/>
      </w:pPr>
      <w:r>
        <w:rPr>
          <w:sz w:val="21"/>
        </w:rPr>
        <w:t xml:space="preserve">[10] Cori Anne, Ferguson Neil M, Fraser Christophe, et al. A new framework and software to estimate time-varying reproduction numbers during epidemics. American Journal of Epidemiology, 2013, 178(9): 1505-1512. DOI: 10.1093/aje/kwt133.</w:t>
      </w:r>
    </w:p>
    <w:p w14:paraId="00100232" w14:textId="00100233">
      <w:pPr>
        <w:spacing w:after="60"/>
      </w:pPr>
      <w:r>
        <w:rPr>
          <w:sz w:val="21"/>
        </w:rPr>
        <w:t xml:space="preserve">[11] Thompson Robin N, Stockwin J E, van Gaalen R D, et al. Improved inference of time-varying reproduction numbers during infectious disease outbreaks. Epidemics, 2019, 29: 100356. DOI: 10.1016/j.epidem.2019.100356.</w:t>
      </w:r>
    </w:p>
    <w:p w14:paraId="00100234" w14:textId="00100235">
      <w:pPr>
        <w:spacing w:after="60"/>
      </w:pPr>
      <w:r>
        <w:rPr>
          <w:sz w:val="21"/>
        </w:rPr>
        <w:t xml:space="preserve">[12] Gostic Katelyn M, McGough Lauren, Baskerville Edward B, et al. Practical considerations for measuring the effective reproductive number, Rt. PLOS Computational Biology, 2020, 16(12): e1008409. DOI: 10.1371/journal.pcbi.1008409.</w:t>
      </w:r>
    </w:p>
    <w:p w14:paraId="00100236" w14:textId="00100237">
      <w:pPr>
        <w:spacing w:after="60"/>
      </w:pPr>
      <w:r>
        <w:rPr>
          <w:sz w:val="21"/>
        </w:rPr>
        <w:t xml:space="preserve">[13] Steyn Nicholas, Parag Kris V, Thompson Robin N, et al. A primer on inference and prediction with epidemic renewal models and sequential Monte Carlo. Statistics in Medicine, 2025, 44(18-19): e70204. DOI: 10.1002/sim.70204.</w:t>
      </w:r>
    </w:p>
    <w:p w14:paraId="00100238" w14:textId="00100239">
      <w:pPr>
        <w:spacing w:after="60"/>
      </w:pPr>
      <w:r>
        <w:rPr>
          <w:sz w:val="21"/>
        </w:rPr>
        <w:t xml:space="preserve">[14] Nouvellet Pierre, Cori Anne, Garske Tini, et al. A simple approach to measure transmissibility and forecast incidence. Epidemics, 2018, 22: 29-35. DOI: 10.1016/j.epidem.2017.02.012.</w:t>
      </w:r>
    </w:p>
    <w:p w14:paraId="0010023A" w14:textId="0010023B">
      <w:pPr>
        <w:spacing w:after="60"/>
      </w:pPr>
      <w:r>
        <w:rPr>
          <w:sz w:val="21"/>
        </w:rPr>
        <w:t xml:space="preserve">[15] Bhatt Samir, Ferguson Neil, Flaxman Seth, et al. Semi-mechanistic Bayesian modeling of COVID-19 with renewal processes. Journal of the Royal Statistical Society Series A: Statistics in Society, 2023, 186(4): 601-615. DOI: 10.1093/jrsssa/qnad030.</w:t>
      </w:r>
    </w:p>
    <w:p w14:paraId="0010023C" w14:textId="0010023D">
      <w:pPr>
        <w:spacing w:after="60"/>
      </w:pPr>
      <w:r>
        <w:rPr>
          <w:sz w:val="21"/>
        </w:rPr>
        <w:t xml:space="preserve">[16] Bracher Johannes, Held Leonhard. A marginal moment matching approach for fitting endemic-epidemic models to underreported disease surveillance counts. Biometrics, 2021, 77(4): 1202-1214. DOI: 10.1111/biom.13371.</w:t>
      </w:r>
    </w:p>
    <w:p w14:paraId="0010023E" w14:textId="0010023F">
      <w:pPr>
        <w:spacing w:after="60"/>
      </w:pPr>
      <w:r>
        <w:rPr>
          <w:sz w:val="21"/>
        </w:rPr>
        <w:t xml:space="preserve">[17] Parag Kris V, Donnelly Christl A, Zarebski Alexander E. Quantifying the information in noisy epidemic curves. Nature Computational Science, 2022, 2(9): 584-594. DOI: 10.1038/s43588-022-00313-1.</w:t>
      </w:r>
    </w:p>
    <w:p w14:paraId="00100240" w14:textId="00100241">
      <w:pPr>
        <w:spacing w:after="60"/>
      </w:pPr>
      <w:r>
        <w:rPr>
          <w:sz w:val="21"/>
        </w:rPr>
        <w:t xml:space="preserve">[18] Parag Kris V, Donnelly Christl A. Fundamental limits on inferring epidemic resurgence in real time using effective reproduction numbers. PLOS Computational Biology, 2022, 18(4): e1010004. DOI: 10.1371/journal.pcbi.1010004.</w:t>
      </w:r>
    </w:p>
    <w:p w14:paraId="00100242" w14:textId="00100243">
      <w:pPr>
        <w:spacing w:after="60"/>
      </w:pPr>
      <w:r>
        <w:rPr>
          <w:sz w:val="21"/>
        </w:rPr>
        <w:t xml:space="preserve">[19] Parag Kris V, Lambert Ben, Donnelly Christl A, et al. Asymmetric limits on timely interventions from noisy epidemic data. Communications Physics, 2025, 8: 450. DOI: 10.1038/s42005-025-02358-w.</w:t>
      </w:r>
    </w:p>
    <w:p w14:paraId="00100244" w14:textId="00100245">
      <w:pPr>
        <w:spacing w:after="60"/>
      </w:pPr>
      <w:r>
        <w:rPr>
          <w:sz w:val="21"/>
        </w:rPr>
        <w:t xml:space="preserve">[20] Engen Steinar, Bakke Øyvind, Islam Aminul. Demographic and environmental stochasticity--concepts and definitions. Biometrics, 1998, 54(3): 840-846. DOI: 10.2307/2533838.</w:t>
      </w:r>
    </w:p>
    <w:p w14:paraId="00100246" w14:textId="00100247">
      <w:pPr>
        <w:spacing w:after="60"/>
      </w:pPr>
      <w:r>
        <w:rPr>
          <w:sz w:val="21"/>
        </w:rPr>
        <w:t xml:space="preserve">[21] Rohani Pejman, Keeling Matthew J, Grenfell Bryan T. The interplay between determinism and stochasticity in childhood diseases. The American Naturalist, 2002, 159(5): 469-481. DOI: 10.1086/339467.</w:t>
      </w:r>
    </w:p>
    <w:p w14:paraId="00100248" w14:textId="00100249">
      <w:pPr>
        <w:spacing w:after="60"/>
      </w:pPr>
      <w:r>
        <w:rPr>
          <w:sz w:val="21"/>
        </w:rPr>
        <w:t xml:space="preserve">[22] Bretó Carles, He Daihai, Ionides Edward L, et al. Time series analysis via mechanistic models. The Annals of Applied Statistics, 2009, 3(1): 319-348. DOI: 10.1214/08-AOAS201.</w:t>
      </w:r>
    </w:p>
    <w:p w14:paraId="0010024A" w14:textId="0010024B">
      <w:pPr>
        <w:spacing w:after="60"/>
      </w:pPr>
      <w:r>
        <w:rPr>
          <w:sz w:val="21"/>
        </w:rPr>
        <w:t xml:space="preserve">[23] Aber Rachael, Di Yanming, Dalziel Benjamin D. Time-series modeling of epidemics in complex populations: Detecting changes in incidence volatility over time. PLOS Computational Biology, 2025, 21(7): e1012882. DOI: 10.1371/journal.pcbi.1012882.</w:t>
      </w:r>
    </w:p>
    <w:p w14:paraId="0010024C" w14:textId="0010024D">
      <w:pPr>
        <w:spacing w:after="60"/>
      </w:pPr>
      <w:r>
        <w:rPr>
          <w:sz w:val="21"/>
        </w:rPr>
        <w:t xml:space="preserve">[24] Fuller Wayne A. Measurement Error Models. New York: John Wiley &amp; Sons, 1987. DOI: 10.1002/9780470316665.</w:t>
      </w:r>
    </w:p>
    <w:p w14:paraId="0010024E" w14:textId="0010024F">
      <w:pPr>
        <w:spacing w:after="60"/>
      </w:pPr>
      <w:r>
        <w:rPr>
          <w:sz w:val="21"/>
        </w:rPr>
        <w:t xml:space="preserve">[25] Carroll Raymond J, Ruppert David, Stefanski Leonard A, et al. Measurement Error in Nonlinear Models: A Modern Perspective. 2nd ed. Boca Raton: Chapman &amp; Hall/CRC, 2006. DOI: 10.1201/9781420010138.</w:t>
      </w:r>
    </w:p>
    <w:p w14:paraId="00100250" w14:textId="00100251">
      <w:pPr>
        <w:spacing w:after="60"/>
      </w:pPr>
      <w:r>
        <w:rPr>
          <w:sz w:val="21"/>
        </w:rPr>
        <w:t xml:space="preserve">[26] Verbeke Geert, Molenberghs Geert. Linear Mixed Models for Longitudinal Data. New York: Springer, 2000. DOI: 10.1007/978-1-4419-0300-6.</w:t>
      </w:r>
    </w:p>
    <w:p w14:paraId="00100252" w14:textId="00100253">
      <w:pPr>
        <w:spacing w:after="60"/>
      </w:pPr>
      <w:r>
        <w:rPr>
          <w:sz w:val="21"/>
        </w:rPr>
        <w:t xml:space="preserve">[27] Armstrong Ben G. Effect of measurement error on epidemiological studies of environmental and occupational exposures. Occupational and Environmental Medicine, 1998, 55(10): 651-656. DOI: 10.1136/oem.55.10.651.</w:t>
      </w:r>
    </w:p>
    <w:p w14:paraId="00100254" w14:textId="00100255">
      <w:pPr>
        <w:spacing w:after="60"/>
      </w:pPr>
      <w:r>
        <w:rPr>
          <w:sz w:val="21"/>
        </w:rPr>
        <w:t xml:space="preserve">[28] Althouse Benjamin M, Scarpino Samuel V, Meyers Lauren Ancel, et al. Enhancing disease surveillance with novel data streams: challenges and opportunities. EPJ Data Science, 2015, 4: 17. DOI: 10.1140/epjds/s13688-015-0054-0.</w:t>
      </w:r>
    </w:p>
    <w:p w14:paraId="00100256" w14:textId="00100257">
      <w:pPr>
        <w:spacing w:after="60"/>
      </w:pPr>
      <w:r>
        <w:rPr>
          <w:sz w:val="21"/>
        </w:rPr>
        <w:t xml:space="preserve">[29] Reich Nicholas G, McGowan Craig J, Yamana Teresa K, et al. Accuracy of real-time multi-model ensemble forecasts for seasonal influenza in the U.S. PLOS Computational Biology, 2019, 15(11): e1007486. DOI: 10.1371/journal.pcbi.1007486.</w:t>
      </w:r>
    </w:p>
    <w:p w14:paraId="00100258" w14:textId="00100259">
      <w:pPr>
        <w:spacing w:after="60"/>
      </w:pPr>
      <w:r>
        <w:rPr>
          <w:sz w:val="21"/>
        </w:rPr>
        <w:t xml:space="preserve">[30] Biggerstaff Matthew, Johansson Michael A, Alper David, et al. Results from the second year of a collaborative effort to forecast influenza seasons in the United States. Epidemics, 2018, 24: 26-33. DOI: 10.1016/j.epidem.2018.02.003.</w:t>
      </w:r>
    </w:p>
    <w:p w14:paraId="0010025A" w14:textId="0010025B">
      <w:pPr>
        <w:spacing w:after="60"/>
      </w:pPr>
      <w:r>
        <w:rPr>
          <w:sz w:val="21"/>
        </w:rPr>
        <w:t xml:space="preserve">[31] Mathis Shannon M, Webber Alexander E, León Teresa M, et al. Evaluation of FluSight influenza forecasting in the 2021-22 and 2022-23 seasons with a new target laboratory-confirmed influenza hospitalizations. Nature Communications, 2024, 15: 6289. DOI: 10.1038/s41467-024-50601-9.</w:t>
      </w:r>
    </w:p>
    <w:p w14:paraId="0010025C" w14:textId="0010025D">
      <w:pPr>
        <w:spacing w:after="60"/>
      </w:pPr>
      <w:r>
        <w:rPr>
          <w:sz w:val="21"/>
        </w:rPr>
        <w:t xml:space="preserve">[32] Cramer Estee Y, Ray Evan L, Lopez Velma K, et al. Evaluation of individual and ensemble probabilistic forecasts of COVID-19 mortality in the United States. Proceedings of the National Academy of Sciences, 2022, 119(15): e2113561119. DOI: 10.1073/pnas.2113561119.</w:t>
      </w:r>
    </w:p>
    <w:p w14:paraId="0010025E" w14:textId="0010025F">
      <w:pPr>
        <w:spacing w:after="60"/>
      </w:pPr>
      <w:r>
        <w:rPr>
          <w:sz w:val="21"/>
        </w:rPr>
        <w:t xml:space="preserve">[33] Ray Evan L, Brooks Logan C, Bien Jacob, et al. Comparing trained and untrained probabilistic ensemble forecasts of COVID-19 cases and deaths in the United States. International Journal of Forecasting, 2023, 39(3): 1366-1383. DOI: 10.1016/j.ijforecast.2022.06.005.</w:t>
      </w:r>
    </w:p>
    <w:p w14:paraId="00100260" w14:textId="00100261">
      <w:pPr>
        <w:spacing w:after="60"/>
      </w:pPr>
      <w:r>
        <w:rPr>
          <w:sz w:val="21"/>
        </w:rPr>
        <w:t xml:space="preserve">[34] Bosse Nikos I, Abbott Sam, Cori Anne, et al. Scoring epidemiological forecasts on transformed scales. PLOS Computational Biology, 2023, 19(8): e1011393. DOI: 10.1371/journal.pcbi.1011393.</w:t>
      </w:r>
    </w:p>
    <w:p w14:paraId="00100262" w14:textId="00100263">
      <w:pPr>
        <w:spacing w:after="60"/>
      </w:pPr>
      <w:r>
        <w:rPr>
          <w:sz w:val="21"/>
        </w:rPr>
        <w:t xml:space="preserve">[35] Zhou Hong, Thompson William W, Viboud Cécile G, et al. Hospitalizations associated with influenza and respiratory syncytial virus in the United States, 1993-2008. Clinical Infectious Diseases, 2012, 54(10): 1427-1436. DOI: 10.1093/cid/cis211.</w:t>
      </w:r>
    </w:p>
    <w:p w14:paraId="00100264" w14:textId="00100265">
      <w:pPr>
        <w:spacing w:after="60"/>
      </w:pPr>
      <w:r>
        <w:rPr>
          <w:sz w:val="21"/>
        </w:rPr>
        <w:t xml:space="preserve">[36] Cochran William G. Sampling Techniques. 3rd ed. New York: John Wiley &amp; Sons, 1977.</w:t>
      </w:r>
    </w:p>
    <w:p w14:paraId="00100266" w14:textId="00100267">
      <w:pPr>
        <w:spacing w:after="60"/>
      </w:pPr>
      <w:r>
        <w:rPr>
          <w:sz w:val="21"/>
        </w:rPr>
        <w:t xml:space="preserve">[37] Centers for Disease Control and Prevention. Weekly Hospital Respiratory Data (HRD) Metrics by Jurisdiction, National Healthcare Safety Network (NHSN). https://data.cdc.gov/d/ua7e-t2fy, 2026. CDC open-data catalogue record ua7e-t2fy. Accessed 2026-09-05</w:t>
      </w:r>
    </w:p>
    <w:p w14:paraId="00100268" w14:textId="00100269">
      <w:pPr>
        <w:spacing w:after="60"/>
      </w:pPr>
      <w:r>
        <w:rPr>
          <w:sz w:val="21"/>
        </w:rPr>
        <w:t xml:space="preserve">[38] Tokars Jerome I, Olsen Sonja J, Reed Carrie. Seasonal incidence of symptomatic influenza in the United States. Clinical Infectious Diseases, 2018, 66(10): 1511-1518. DOI: 10.1093/cid/cix1060.</w:t>
      </w:r>
    </w:p>
    <w:p w14:paraId="0010026A" w14:textId="0010026B">
      <w:pPr>
        <w:spacing w:after="60"/>
      </w:pPr>
      <w:r>
        <w:rPr>
          <w:sz w:val="21"/>
        </w:rPr>
        <w:t xml:space="preserve">[39] Flaxman Seth, Mishra Swapnil, Gandy Axel, et al. Estimating the effects of non-pharmaceutical interventions on COVID-19 in Europe. Nature, 2020, 584(7820): 257-261. DOI: 10.1038/s41586-020-2405-7.</w:t>
      </w:r>
    </w:p>
    <w:sectPr>
      <w:footerReference w:type="default" r:id="Rfe677a81274f4ceb"/>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C" w14:textId="0010026E">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1d68c12efcc14e37" /><Relationship Type="http://schemas.openxmlformats.org/officeDocument/2006/relationships/styles" Target="/word/styles.xml" Id="R116c9422bedc4660" /><Relationship Type="http://schemas.openxmlformats.org/officeDocument/2006/relationships/theme" Target="/word/theme/theme1.xml" Id="R1c720000117e49b5" /><Relationship Type="http://schemas.openxmlformats.org/officeDocument/2006/relationships/numbering" Target="/word/numbering.xml" Id="Rd6e7ee81348f48fa" /><Relationship Type="http://schemas.openxmlformats.org/officeDocument/2006/relationships/image" Target="/media/image.png" Id="Re134fec21eac41d7" /><Relationship Type="http://schemas.openxmlformats.org/officeDocument/2006/relationships/image" Target="/media/image2.png" Id="R29bef85c805f4cc1" /><Relationship Type="http://schemas.openxmlformats.org/officeDocument/2006/relationships/image" Target="/media/image3.png" Id="R21925904b89f4740" /><Relationship Type="http://schemas.openxmlformats.org/officeDocument/2006/relationships/image" Target="/media/image4.png" Id="Re93a8c0108d84ad7" /><Relationship Type="http://schemas.openxmlformats.org/officeDocument/2006/relationships/footer" Target="/word/footer1.xml" Id="Rfe677a81274f4ceb"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OfficeCLI/1.0.156</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2026-10-10T07:33:59Z</dcterms:created>
  <cp:lastModifiedBy>OfficeCLI</cp:lastModifiedBy>
  <dcterms:modified xsi:type="dcterms:W3CDTF">2026-10-10T07:33:59Z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1.0.156</vt:lpwstr>
  </op:property>
  <op:property fmtid="{D5CDD505-2E9C-101B-9397-08002B2CF9AE}" pid="3" name="OfficeCLI.LastModified">
    <vt:lpwstr xmlns:vt="http://schemas.openxmlformats.org/officeDocument/2006/docPropsVTypes">2026-10-10T07:34:07Z</vt:lpwstr>
  </op:property>
</op:Properties>
</file>