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e18b57106d7344ce" /><Relationship Type="http://schemas.openxmlformats.org/package/2006/relationships/metadata/core-properties" Target="/docProps/core.xml" Id="R6a1f563df5794062" /><Relationship Type="http://schemas.openxmlformats.org/officeDocument/2006/relationships/extended-properties" Target="/docProps/app.xml" Id="Re783163c1f6e465c" /><Relationship Type="http://schemas.openxmlformats.org/officeDocument/2006/relationships/custom-properties" Target="/docProps/custom.xml" Id="R60ab382599434de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由此导出两项相等的平滑交叉点m_×（对应信度比等于0.5的结构位置）；（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与理论量级相容；误差预算分解表明与规模无关份额占39%–55%（回顾口径54.6%），大规模观测（D_t≥250）误差降至全体平均的约六成；达峰期近89%总体误差来自平稳基准偏移，控制偏移后规模项依然有效；时变交叉点在流感季（中位数19.7—20.4）与非流感季（46.9—47.9）系统性分异。上述结果打破了单一追求病例规模的监测迷思，为公共卫生资源在扩大捕获、多期平滑与引入环境协变量之间的优化配置提供了量化理论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pStyle w:val="Heading2"/>
        <w:spacing w:before="240" w:after="120"/>
      </w:pPr>
      <w:r>
        <w:rPr>
          <w:b/>
          <w:sz w:val="28"/>
        </w:rPr>
        <w:t xml:space="preserve">3.5增长判定检验与预测方差分解</w:t>
      </w:r>
    </w:p>
    <w:p w14:paraId="00100054" w14:textId="00100055">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6" w14:textId="00100057">
      <w:pPr>
        <w:pStyle w:val="Heading1"/>
        <w:spacing w:before="260" w:after="260"/>
      </w:pPr>
      <w:r>
        <w:rPr>
          <w:b/>
          <w:sz w:val="32"/>
        </w:rPr>
        <w:t xml:space="preserve">4数值模拟评估</w:t>
      </w:r>
    </w:p>
    <w:p w14:paraId="00100058" w14:textId="00100059">
      <w:pPr>
        <w:pStyle w:val="Heading2"/>
        <w:spacing w:before="240" w:after="120"/>
      </w:pPr>
      <w:r>
        <w:rPr>
          <w:b/>
          <w:sz w:val="28"/>
        </w:rPr>
        <w:t xml:space="preserve">4.1增长判定检验的有限样本功效</w:t>
      </w:r>
    </w:p>
    <w:p w14:paraId="0010005A" w14:textId="0010005B">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C" w14:textId="0010005D">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9e7e8e841d32445d" cstate="print"/>
                    <a:stretch>
                      <a:fillRect/>
                    </a:stretch>
                  </pic:blipFill>
                  <pic:spPr>
                    <a:xfrm>
                      <a:off x="0" y="0"/>
                      <a:ext cx="5394960" cy="1476826"/>
                    </a:xfrm>
                    <a:prstGeom prst="rect">
                      <a:avLst/>
                    </a:prstGeom>
                  </pic:spPr>
                </pic:pic>
              </a:graphicData>
            </a:graphic>
          </wp:inline>
        </w:drawing>
      </w:r>
    </w:p>
    <w:p w14:paraId="0010005E" w14:textId="0010005F">
      <w:pPr>
        <w:spacing w:before="60" w:after="200"/>
        <w:jc w:val="center"/>
      </w:pPr>
      <w:r>
        <w:rPr>
          <w:b/>
          <w:sz w:val="18"/>
        </w:rPr>
        <w:t xml:space="preserve">图1 当期超临界增长判定检验功效与有限样本性质验证</w:t>
      </w:r>
    </w:p>
    <w:p w14:paraId="00100060" w14:textId="00100061">
      <w:pPr>
        <w:pStyle w:val="Heading2"/>
        <w:spacing w:before="240" w:after="120"/>
      </w:pPr>
      <w:r>
        <w:rPr>
          <w:b/>
          <w:sz w:val="28"/>
        </w:rPr>
        <w:t xml:space="preserve">4.2更新过程的预测误差与参照曲线</w:t>
      </w:r>
    </w:p>
    <w:p w14:paraId="00100062" w14:textId="00100063">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4" w14:textId="00100065">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fb8eb90f99904fbd" cstate="print"/>
                    <a:stretch>
                      <a:fillRect/>
                    </a:stretch>
                  </pic:blipFill>
                  <pic:spPr>
                    <a:xfrm>
                      <a:off x="0" y="0"/>
                      <a:ext cx="5394960" cy="1435463"/>
                    </a:xfrm>
                    <a:prstGeom prst="rect">
                      <a:avLst/>
                    </a:prstGeom>
                  </pic:spPr>
                </pic:pic>
              </a:graphicData>
            </a:graphic>
          </wp:inline>
        </w:drawing>
      </w:r>
    </w:p>
    <w:p w14:paraId="00100066" w14:textId="00100067">
      <w:pPr>
        <w:spacing w:before="60" w:after="200"/>
        <w:jc w:val="center"/>
      </w:pPr>
      <w:r>
        <w:rPr>
          <w:b/>
          <w:sz w:val="18"/>
        </w:rPr>
        <w:t xml:space="preserve">图2 更新过程事后增长统计量与事前单步病例预测误差对照</w:t>
      </w:r>
    </w:p>
    <w:p w14:paraId="00100068" w14:textId="00100069">
      <w:pPr>
        <w:pStyle w:val="Heading1"/>
        <w:spacing w:before="260" w:after="260"/>
      </w:pPr>
      <w:r>
        <w:rPr>
          <w:b/>
          <w:sz w:val="32"/>
        </w:rPr>
        <w:t xml:space="preserve">5实证检验：全美流感住院监测数据（2020—2026）</w:t>
      </w:r>
    </w:p>
    <w:p w14:paraId="0010006A" w14:textId="0010006B">
      <w:pPr>
        <w:pStyle w:val="Heading2"/>
        <w:spacing w:before="240" w:after="120"/>
      </w:pPr>
      <w:r>
        <w:rPr>
          <w:b/>
          <w:sz w:val="28"/>
        </w:rPr>
        <w:t xml:space="preserve">5.1数据源、制度分段与预处理</w:t>
      </w:r>
    </w:p>
    <w:p w14:paraId="0010006C" w14:textId="0010006D">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E" w14:textId="0010006F">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0" w14:textId="00100071">
      <w:pPr>
        <w:pStyle w:val="Heading2"/>
        <w:spacing w:before="240" w:after="120"/>
      </w:pPr>
      <w:r>
        <w:rPr>
          <w:b/>
          <w:sz w:val="28"/>
        </w:rPr>
        <w:t xml:space="preserve">5.2检验一：流行初期波段的方差衰减与误差预算分解</w:t>
      </w:r>
    </w:p>
    <w:p w14:paraId="00100072" w14:textId="00100073">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4" w14:textId="00100075">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6" w14:textId="00100077">
            <w:r>
              <w:t xml:space="preserve">每周有效规模D_t</w:t>
            </w:r>
          </w:p>
        </w:tc>
        <w:tc>
          <w:p w14:paraId="00100078" w14:textId="00100079">
            <w:r>
              <w:t xml:space="preserve">N</w:t>
            </w:r>
          </w:p>
        </w:tc>
        <w:tc>
          <w:p w14:paraId="0010007A" w14:textId="0010007B">
            <w:r>
              <w:t xml:space="preserve">相对均方误差</w:t>
            </w:r>
          </w:p>
        </w:tc>
        <w:tc>
          <w:p w14:paraId="0010007C" w14:textId="0010007D">
            <w:r>
              <w:t xml:space="preserve">中位数</w:t>
            </w:r>
          </w:p>
        </w:tc>
        <w:tc>
          <w:p w14:paraId="0010007E" w14:textId="0010007F">
            <w:r>
              <w:t xml:space="preserve">普通SEM</w:t>
            </w:r>
          </w:p>
        </w:tc>
        <w:tc>
          <w:p w14:paraId="00100080" w14:textId="00100081">
            <w:r>
              <w:t xml:space="preserve">州聚类SE</w:t>
            </w:r>
          </w:p>
        </w:tc>
        <w:tc>
          <w:p w14:paraId="00100082" w14:textId="00100083">
            <w:r>
              <w:t xml:space="preserve">州聚类95%CI</w:t>
            </w:r>
          </w:p>
        </w:tc>
      </w:tr>
      <w:tr>
        <w:trPr/>
        <w:tc>
          <w:p w14:paraId="00100084" w14:textId="00100085">
            <w:r>
              <w:t xml:space="preserve">[5,20)</w:t>
            </w:r>
          </w:p>
        </w:tc>
        <w:tc>
          <w:p w14:paraId="00100086" w14:textId="00100087">
            <w:r>
              <w:t xml:space="preserve">319</w:t>
            </w:r>
          </w:p>
        </w:tc>
        <w:tc>
          <w:p w14:paraId="00100088" w14:textId="00100089">
            <w:r>
              <w:t xml:space="preserve">0.3292</w:t>
            </w:r>
          </w:p>
        </w:tc>
        <w:tc>
          <w:p w14:paraId="0010008A" w14:textId="0010008B">
            <w:r>
              <w:t xml:space="preserve">0.0969</w:t>
            </w:r>
          </w:p>
        </w:tc>
        <w:tc>
          <w:p w14:paraId="0010008C" w14:textId="0010008D">
            <w:r>
              <w:t xml:space="preserve">0.0425</w:t>
            </w:r>
          </w:p>
        </w:tc>
        <w:tc>
          <w:p w14:paraId="0010008E" w14:textId="0010008F">
            <w:r>
              <w:t xml:space="preserve">0.0437</w:t>
            </w:r>
          </w:p>
        </w:tc>
        <w:tc>
          <w:p w14:paraId="00100090" w14:textId="00100091">
            <w:r>
              <w:t xml:space="preserve">[0.2435,0.4149]</w:t>
            </w:r>
          </w:p>
        </w:tc>
      </w:tr>
      <w:tr>
        <w:trPr/>
        <w:tc>
          <w:p w14:paraId="00100092" w14:textId="00100093">
            <w:r>
              <w:t xml:space="preserve">[20,50)</w:t>
            </w:r>
          </w:p>
        </w:tc>
        <w:tc>
          <w:p w14:paraId="00100094" w14:textId="00100095">
            <w:r>
              <w:t xml:space="preserve">297</w:t>
            </w:r>
          </w:p>
        </w:tc>
        <w:tc>
          <w:p w14:paraId="00100096" w14:textId="00100097">
            <w:r>
              <w:t xml:space="preserve">0.1605</w:t>
            </w:r>
          </w:p>
        </w:tc>
        <w:tc>
          <w:p w14:paraId="00100098" w14:textId="00100099">
            <w:r>
              <w:t xml:space="preserve">0.0596</w:t>
            </w:r>
          </w:p>
        </w:tc>
        <w:tc>
          <w:p w14:paraId="0010009A" w14:textId="0010009B">
            <w:r>
              <w:t xml:space="preserve">0.0169</w:t>
            </w:r>
          </w:p>
        </w:tc>
        <w:tc>
          <w:p w14:paraId="0010009C" w14:textId="0010009D">
            <w:r>
              <w:t xml:space="preserve">0.0189</w:t>
            </w:r>
          </w:p>
        </w:tc>
        <w:tc>
          <w:p w14:paraId="0010009E" w14:textId="0010009F">
            <w:r>
              <w:t xml:space="preserve">[0.1235,0.1974]</w:t>
            </w:r>
          </w:p>
        </w:tc>
      </w:tr>
      <w:tr>
        <w:trPr/>
        <w:tc>
          <w:p w14:paraId="001000A0" w14:textId="001000A1">
            <w:r>
              <w:t xml:space="preserve">[50,100)</w:t>
            </w:r>
          </w:p>
        </w:tc>
        <w:tc>
          <w:p w14:paraId="001000A2" w14:textId="001000A3">
            <w:r>
              <w:t xml:space="preserve">187</w:t>
            </w:r>
          </w:p>
        </w:tc>
        <w:tc>
          <w:p w14:paraId="001000A4" w14:textId="001000A5">
            <w:r>
              <w:t xml:space="preserve">0.1446</w:t>
            </w:r>
          </w:p>
        </w:tc>
        <w:tc>
          <w:p w14:paraId="001000A6" w14:textId="001000A7">
            <w:r>
              <w:t xml:space="preserve">0.0483</w:t>
            </w:r>
          </w:p>
        </w:tc>
        <w:tc>
          <w:p w14:paraId="001000A8" w14:textId="001000A9">
            <w:r>
              <w:t xml:space="preserve">0.0194</w:t>
            </w:r>
          </w:p>
        </w:tc>
        <w:tc>
          <w:p w14:paraId="001000AA" w14:textId="001000AB">
            <w:r>
              <w:t xml:space="preserve">0.0198</w:t>
            </w:r>
          </w:p>
        </w:tc>
        <w:tc>
          <w:p w14:paraId="001000AC" w14:textId="001000AD">
            <w:r>
              <w:t xml:space="preserve">[0.1057,0.1835]</w:t>
            </w:r>
          </w:p>
        </w:tc>
      </w:tr>
      <w:tr>
        <w:trPr/>
        <w:tc>
          <w:p w14:paraId="001000AE" w14:textId="001000AF">
            <w:r>
              <w:t xml:space="preserve">[100,250)</w:t>
            </w:r>
          </w:p>
        </w:tc>
        <w:tc>
          <w:p w14:paraId="001000B0" w14:textId="001000B1">
            <w:r>
              <w:t xml:space="preserve">220</w:t>
            </w:r>
          </w:p>
        </w:tc>
        <w:tc>
          <w:p w14:paraId="001000B2" w14:textId="001000B3">
            <w:r>
              <w:t xml:space="preserve">0.1118</w:t>
            </w:r>
          </w:p>
        </w:tc>
        <w:tc>
          <w:p w14:paraId="001000B4" w14:textId="001000B5">
            <w:r>
              <w:t xml:space="preserve">0.0545</w:t>
            </w:r>
          </w:p>
        </w:tc>
        <w:tc>
          <w:p w14:paraId="001000B6" w14:textId="001000B7">
            <w:r>
              <w:t xml:space="preserve">0.0110</w:t>
            </w:r>
          </w:p>
        </w:tc>
        <w:tc>
          <w:p w14:paraId="001000B8" w14:textId="001000B9">
            <w:r>
              <w:t xml:space="preserve">0.0114</w:t>
            </w:r>
          </w:p>
        </w:tc>
        <w:tc>
          <w:p w14:paraId="001000BA" w14:textId="001000BB">
            <w:r>
              <w:t xml:space="preserve">[0.0895,0.1341]</w:t>
            </w:r>
          </w:p>
        </w:tc>
      </w:tr>
      <w:tr>
        <w:trPr/>
        <w:tc>
          <w:p w14:paraId="001000BC" w14:textId="001000BD">
            <w:r>
              <w:t xml:space="preserve">[250,600)</w:t>
            </w:r>
          </w:p>
        </w:tc>
        <w:tc>
          <w:p w14:paraId="001000BE" w14:textId="001000BF">
            <w:r>
              <w:t xml:space="preserve">152</w:t>
            </w:r>
          </w:p>
        </w:tc>
        <w:tc>
          <w:p w14:paraId="001000C0" w14:textId="001000C1">
            <w:r>
              <w:t xml:space="preserve">0.1032</w:t>
            </w:r>
          </w:p>
        </w:tc>
        <w:tc>
          <w:p w14:paraId="001000C2" w14:textId="001000C3">
            <w:r>
              <w:t xml:space="preserve">0.0460</w:t>
            </w:r>
          </w:p>
        </w:tc>
        <w:tc>
          <w:p w14:paraId="001000C4" w14:textId="001000C5">
            <w:r>
              <w:t xml:space="preserve">0.0097</w:t>
            </w:r>
          </w:p>
        </w:tc>
        <w:tc>
          <w:p w14:paraId="001000C6" w14:textId="001000C7">
            <w:r>
              <w:t xml:space="preserve">0.0133</w:t>
            </w:r>
          </w:p>
        </w:tc>
        <w:tc>
          <w:p w14:paraId="001000C8" w14:textId="001000C9">
            <w:r>
              <w:t xml:space="preserve">[0.0771,0.1293]</w:t>
            </w:r>
          </w:p>
        </w:tc>
      </w:tr>
      <w:tr>
        <w:trPr/>
        <w:tc>
          <w:p w14:paraId="001000CA" w14:textId="001000CB">
            <w:r>
              <w:t xml:space="preserve">[600,5000)</w:t>
            </w:r>
          </w:p>
        </w:tc>
        <w:tc>
          <w:p w14:paraId="001000CC" w14:textId="001000CD">
            <w:r>
              <w:t xml:space="preserve">92</w:t>
            </w:r>
          </w:p>
        </w:tc>
        <w:tc>
          <w:p w14:paraId="001000CE" w14:textId="001000CF">
            <w:r>
              <w:t xml:space="preserve">0.1054</w:t>
            </w:r>
          </w:p>
        </w:tc>
        <w:tc>
          <w:p w14:paraId="001000D0" w14:textId="001000D1">
            <w:r>
              <w:t xml:space="preserve">0.0735</w:t>
            </w:r>
          </w:p>
        </w:tc>
        <w:tc>
          <w:p w14:paraId="001000D2" w14:textId="001000D3">
            <w:r>
              <w:t xml:space="preserve">0.0109</w:t>
            </w:r>
          </w:p>
        </w:tc>
        <w:tc>
          <w:p w14:paraId="001000D4" w14:textId="001000D5">
            <w:r>
              <w:t xml:space="preserve">0.0146</w:t>
            </w:r>
          </w:p>
        </w:tc>
        <w:tc>
          <w:p w14:paraId="001000D6" w14:textId="001000D7">
            <w:r>
              <w:t xml:space="preserve">[0.0769,0.1340]</w:t>
            </w:r>
          </w:p>
        </w:tc>
      </w:tr>
    </w:tbl>
    <w:p w14:paraId="001000D8" w14:textId="001000D9">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第一阶段F统计量达1147.1（强工具），第二阶段b估计为2.8501（a=0.0807），高于基准OLS的1.4581。更将2SLS限定在各流感季初期波段内部独立运行：2022–23季（N=273）第一阶段F=277.4，b_iv=3.2787（OLS: 1.8865）；2023–24季（N=358）第一阶段F=464.8，b_iv=2.1867（OLS: 1.6760）；2024–25季（N=420）第一阶段F=503.3，b_iv=3.6131（OLS: 1.8295）。在每个独立季节内部，第一阶段F统计量均远超临界值（均高于270），且每个季节的2SLS规模斜率均显著为正并高于对应OLS斜率，与经典测量误差导致的衰减偏倚修正方向一致。</w:t>
      </w:r>
    </w:p>
    <w:p w14:paraId="001000DA" w14:textId="001000DB">
      <w:pPr>
        <w:ind w:firstLine="420"/>
      </w:pPr>
      <w:r>
        <w:rPr>
          <w:sz w:val="21"/>
        </w:rPr>
        <w:t xml:space="preserve">过度离散结构Var(L)/E[L]²从[5,20)箱的5.32单调降至[600,5000)箱的0.99，与理论形状一致。</w:t>
      </w:r>
    </w:p>
    <w:p w14:paraId="001000DC" w14:textId="001000DD">
      <w:pPr>
        <w:ind w:firstLine="420"/>
      </w:pPr>
      <w:r>
        <w:rPr>
          <w:sz w:val="21"/>
        </w:rPr>
        <w:t xml:space="preserve">预测偏差项与机制隐含斜率的分解检验：依更新过程展开式，总相对预测方差严格分解为条件方差项与预测偏差项。若以2周滑动窗口估计量作为局部期望比的经验代理，实测偏差项在全波段均值为0.1252，仿射拟合得到其斜率b_bias=0.3416；而扣除偏差项后的纯条件方差项斜率依然高达b_var=3.3553（a_var=0.1109）。这直接澄清了经验估计b=2.24高于单代静态模型参数空间隐含值（约0.6–0.8）的机制来源：在动态更新卷积与分母1/D_t²随机重加权下，时间序列更新过程固有地放大了经验规模斜率，但规模相关项的主导贡献依然来自纯条件方差，而非单纯的趋势预测偏差。</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均随每周病例规模D_t单调显著下降；(3)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衰减是内在的结构性特征。</w:t>
      </w:r>
    </w:p>
    <w:p w14:paraId="001000E0" w14:textId="001000E1">
      <w:pPr>
        <w:spacing w:before="160" w:after="60"/>
        <w:jc w:val="center"/>
      </w:pPr>
      <w:r>
        <w:rPr>
          <w:b/>
          <w:sz w:val="18"/>
        </w:rPr>
        <w:t xml:space="preserve">表2 不同预测基准在流行初期波段单步相对均方误差（RelMSE）的规模分箱对照</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2d37475df1bb4861"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A" w14:textId="0010016B">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有所放大。（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F&gt;270）排除了变量误差导致的衰减偏倚，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盲目堆砌病例数量的“样本量迷思”、推动监测资源向环境协变量采集与多期时空平滑配置提供了量化理论判据。未来研究可进一步结合显式气象行为数据与非对称损失函数，拓展动态状态空间滤波下的实时监测优化设计。</w:t>
      </w:r>
    </w:p>
    <w:p w14:paraId="00100174" w14:textId="00100175">
      <w:pPr>
        <w:pStyle w:val="Heading1"/>
        <w:spacing w:before="260" w:after="260"/>
      </w:pPr>
      <w:r>
        <w:rPr>
          <w:b/>
          <w:sz w:val="32"/>
        </w:rPr>
        <w:t xml:space="preserve">参考文献</w:t>
      </w:r>
    </w:p>
    <w:p w14:paraId="00100176" w14:textId="00100177">
      <w:pPr>
        <w:spacing w:after="60"/>
      </w:pPr>
      <w:r>
        <w:rPr>
          <w:sz w:val="18"/>
        </w:rPr>
        <w:t xml:space="preserve">[1] Lloyd-Smith J O, Schreiber S J, Kopp P E, et al. Superspreading and the effect of individual variation on disease emergence. Nature, 2005, 438(7066): 355-359. DOI: 10.1038/nature04153.</w:t>
      </w:r>
    </w:p>
    <w:p w14:paraId="00100178" w14:textId="00100179">
      <w:pPr>
        <w:spacing w:after="60"/>
      </w:pPr>
      <w:r>
        <w:rPr>
          <w:sz w:val="18"/>
        </w:rPr>
        <w:t xml:space="preserve">[2] Endo A, Abbott S, Kucharski A J, et al. Estimating the overdispersion in COVID-19 transmission using outbreak sizes outside China. Wellcome Open Research, 2020, 5: 67. DOI: 10.12688/wellcomeopenres.15842.3.</w:t>
      </w:r>
    </w:p>
    <w:p w14:paraId="0010017A" w14:textId="0010017B">
      <w:pPr>
        <w:spacing w:after="60"/>
      </w:pPr>
      <w:r>
        <w:rPr>
          <w:sz w:val="18"/>
        </w:rPr>
        <w:t xml:space="preserve">[3] Kucharski A J, Russell T W, Diamond C, et al. Early dynamics of transmission and control of COVID-19: a mathematical modelling study. The Lancet Infectious Diseases, 2020, 20(5): 553-560. DOI: 10.1016/S1473-3099(20)30144-4.</w:t>
      </w:r>
    </w:p>
    <w:p w14:paraId="0010017C" w14:textId="0010017D">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7E" w14:textId="0010017F">
      <w:pPr>
        <w:spacing w:after="60"/>
      </w:pPr>
      <w:r>
        <w:rPr>
          <w:sz w:val="18"/>
        </w:rPr>
        <w:t xml:space="preserve">[5] Fraser C. Estimating individual and household reproduction numbers in an emerging epidemic. PLOS ONE, 2007, 2(8): e758. DOI: 10.1371/journal.pone.0000758.</w:t>
      </w:r>
    </w:p>
    <w:p w14:paraId="00100180" w14:textId="00100181">
      <w:pPr>
        <w:spacing w:after="60"/>
      </w:pPr>
      <w:r>
        <w:rPr>
          <w:sz w:val="18"/>
        </w:rPr>
        <w:t xml:space="preserve">[6] Cori A, Ferguson N M, Fraser C, et al. A new framework and software to estimate time-varying reproduction numbers during epidemics. American Journal of Epidemiology, 2013, 178(9): 1505-1512. DOI: 10.1093/aje/kwt133.</w:t>
      </w:r>
    </w:p>
    <w:p w14:paraId="00100182" w14:textId="00100183">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4" w14:textId="00100185">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6" w14:textId="00100187">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8" w14:textId="00100189">
      <w:pPr>
        <w:spacing w:after="60"/>
      </w:pPr>
      <w:r>
        <w:rPr>
          <w:sz w:val="18"/>
        </w:rPr>
        <w:t xml:space="preserve">[10] Parag K V, Donnelly C A, Zarebski A E. Quantifying the information in noisy epidemic curves. Nature Computational Science, 2022, 2(9): 584-594. DOI: 10.1038/s43588-022-00313-1.</w:t>
      </w:r>
    </w:p>
    <w:p w14:paraId="0010018A" w14:textId="0010018B">
      <w:pPr>
        <w:spacing w:after="60"/>
      </w:pPr>
      <w:r>
        <w:rPr>
          <w:sz w:val="18"/>
        </w:rPr>
        <w:t xml:space="preserve">[11] Parag K V, Lambert B, Donnelly C A, Beregi S. Asymmetric limits on timely interventions from noisy epidemic data. Communications Physics, 2025, 8: 450. DOI: 10.1038/s42005-025-02358-w.</w:t>
      </w:r>
    </w:p>
    <w:p w14:paraId="0010018C" w14:textId="0010018D">
      <w:pPr>
        <w:spacing w:after="60"/>
      </w:pPr>
      <w:r>
        <w:rPr>
          <w:sz w:val="18"/>
        </w:rPr>
        <w:t xml:space="preserve">[12] Bosse N I, Abbott S, Cori A, et al. Scoring epidemiological forecasts on transformed scales. PLOS Computational Biology, 2023, 19(8): e1011393. DOI: 10.1371/journal.pcbi.1011393.</w:t>
      </w:r>
    </w:p>
    <w:p w14:paraId="0010018E" w14:textId="0010018F">
      <w:pPr>
        <w:spacing w:after="60"/>
      </w:pPr>
      <w:r>
        <w:rPr>
          <w:sz w:val="18"/>
        </w:rPr>
        <w:t xml:space="preserve">[13] Bracher J, Held L. A marginal moment matching approach for fitting endemic-epidemic models to underreported disease surveillance counts. Biometrics, 2021, 77(4): 1348-1359. DOI: 10.1111/biom.13384.</w:t>
      </w:r>
    </w:p>
    <w:p w14:paraId="00100190" w14:textId="00100191">
      <w:pPr>
        <w:spacing w:after="60"/>
      </w:pPr>
      <w:r>
        <w:rPr>
          <w:sz w:val="18"/>
        </w:rPr>
        <w:t xml:space="preserve">[14] Bhatt S, Ferguson N, Flaxman S, et al. Semi-mechanistic Bayesian modeling of COVID-19 with renewal processes. Journal of the Royal Statistical Society Series A: Statistics in Society, 2023, 186(4): 601-624. DOI: 10.1093/jrsssa/qnad001.</w:t>
      </w:r>
    </w:p>
    <w:p w14:paraId="00100192" w14:textId="00100193">
      <w:pPr>
        <w:spacing w:after="60"/>
      </w:pPr>
      <w:r>
        <w:rPr>
          <w:sz w:val="18"/>
        </w:rPr>
        <w:t xml:space="preserve">[15] Steyn N, Parag K V, Thompson R N. A primer on inference and prediction with epidemic renewal models and sequential Monte Carlo. Statistics in Medicine, 2025, 44(3): e70204. DOI: 10.1002/sim.70204.</w:t>
      </w:r>
    </w:p>
    <w:p w14:paraId="00100194" w14:textId="00100195">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6" w14:textId="00100197">
      <w:pPr>
        <w:spacing w:after="60"/>
      </w:pPr>
      <w:r>
        <w:rPr>
          <w:sz w:val="18"/>
        </w:rPr>
        <w:t xml:space="preserve">[17] Aber S, Di Q, Dalziel B D. Time-series modeling of epidemics in complex populations: Detecting changes in incidence volatility over time. PLOS Computational Biology, 2025, 21(2): e1012882. DOI: 10.1371/journal.pcbi.1012882.</w:t>
      </w:r>
    </w:p>
    <w:p w14:paraId="00100198" w14:textId="00100199">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A" w14:textId="0010019B">
      <w:pPr>
        <w:spacing w:after="60"/>
      </w:pPr>
      <w:r>
        <w:rPr>
          <w:sz w:val="18"/>
        </w:rPr>
        <w:t xml:space="preserve">[19] Dalziel B D, Kissler S, Gog J R, et al. Urbanization and the geography of influenza in the United States. Science, 2018, 362(6410): 75-79. DOI: 10.1126/science.aat6030.</w:t>
      </w:r>
    </w:p>
    <w:p w14:paraId="0010019C" w14:textId="0010019D">
      <w:pPr>
        <w:spacing w:after="60"/>
      </w:pPr>
      <w:r>
        <w:rPr>
          <w:sz w:val="18"/>
        </w:rPr>
        <w:t xml:space="preserve">[20] Lipsitch M, Swerdlow D L, Finelli L. Enhancing the value of public health surveillance: simple models for surveillance data. PLOS Medicine, 2015, 12(7): e1001844. DOI: 10.1371/journal.pmed.1001844.</w:t>
      </w:r>
    </w:p>
    <w:p w14:paraId="0010019E" w14:textId="0010019F">
      <w:pPr>
        <w:spacing w:after="60"/>
      </w:pPr>
      <w:r>
        <w:rPr>
          <w:sz w:val="18"/>
        </w:rPr>
        <w:t xml:space="preserve">[21] Nouvellet P, Cori A, Garske T, et al. A simple approach to measure controllability of infectious disease outbreaks. Epidemics, 2018, 22: 29-38. DOI: 10.1016/j.epidem.2017.02.012.</w:t>
      </w:r>
    </w:p>
    <w:p w14:paraId="001001A0" w14:textId="001001A1">
      <w:pPr>
        <w:spacing w:after="60"/>
      </w:pPr>
      <w:r>
        <w:rPr>
          <w:sz w:val="18"/>
        </w:rPr>
        <w:t xml:space="preserve">[22] Fuller W A. Measurement Error Models. New York: John Wiley &amp; Sons, 1987. DOI: 10.1002/9780470316665.</w:t>
      </w:r>
    </w:p>
    <w:p w14:paraId="001001A2" w14:textId="001001A3">
      <w:pPr>
        <w:spacing w:after="60"/>
      </w:pPr>
      <w:r>
        <w:rPr>
          <w:sz w:val="18"/>
        </w:rPr>
        <w:t xml:space="preserve">[23] Carroll R J, Ruppert D, Stefanski L A, Crainiceanu C M. Measurement Error in Nonlinear Models: A Modern Approach. 2nd ed. Boca Raton: Chapman &amp; Hall/CRC, 2006. DOI: 10.1201/9781420010138.</w:t>
      </w:r>
    </w:p>
    <w:p w14:paraId="001001A4" w14:textId="001001A5">
      <w:pPr>
        <w:spacing w:after="60"/>
      </w:pPr>
      <w:r>
        <w:rPr>
          <w:sz w:val="18"/>
        </w:rPr>
        <w:t xml:space="preserve">[24] Armstrong B G. Effect of measurement error on epidemiological studies of environmental and nutritional risks. Annals of Epidemiology, 1998, 8(6): 381-387. DOI: 10.1016/S1047-2797(97)00234-8.</w:t>
      </w:r>
    </w:p>
    <w:p w14:paraId="001001A6" w14:textId="001001A7">
      <w:pPr>
        <w:spacing w:after="60"/>
      </w:pPr>
      <w:r>
        <w:rPr>
          <w:sz w:val="18"/>
        </w:rPr>
        <w:t xml:space="preserve">[25] Verbeke G, Molenberghs G. Linear Mixed Models for Longitudinal Data. New York: Springer, 2000. DOI: 10.1007/978-1-4419-0300-6.</w:t>
      </w:r>
    </w:p>
    <w:p w14:paraId="001001A8" w14:textId="001001A9">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A" w14:textId="001001AB">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AC" w14:textId="001001AD">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AE" w14:textId="001001AF">
      <w:pPr>
        <w:spacing w:after="60"/>
      </w:pPr>
      <w:r>
        <w:rPr>
          <w:sz w:val="18"/>
        </w:rPr>
        <w:t xml:space="preserve">[29] Biggerstaff M, Alper D, Dredze M, et al. Results from the second open CDC challenge to predict the 2014-2015 influenza season. Epidemics, 2018, 24: 26-37. DOI: 10.1016/j.epidem.2018.02.003.</w:t>
      </w:r>
    </w:p>
    <w:p w14:paraId="001001B0" w14:textId="001001B1">
      <w:pPr>
        <w:spacing w:after="60"/>
      </w:pPr>
      <w:r>
        <w:rPr>
          <w:sz w:val="18"/>
        </w:rPr>
        <w:t xml:space="preserve">[30] Jhung M A, Powell T, Dhara R, et al. Epidemiology of influenza-associated hospitalizations in the United States, 1993-2008. Clinical Infectious Diseases, 2012, 54(11): 1555-1562. DOI: 10.1093/cid/cis253.</w:t>
      </w:r>
    </w:p>
    <w:p w14:paraId="001001B2" w14:textId="001001B3">
      <w:pPr>
        <w:spacing w:after="60"/>
      </w:pPr>
      <w:r>
        <w:rPr>
          <w:sz w:val="18"/>
        </w:rPr>
        <w:t xml:space="preserve">[31] Stoner O, Economou T, Drummond G. Hierarchical spatio-temporal modeling for surveillance data with reporting delays and incomplete observation. Biometrics, 2023, 79(3): 2296-2308. DOI: 10.1111/biom.13788.</w:t>
      </w:r>
    </w:p>
    <w:p w14:paraId="001001B4" w14:textId="001001B5">
      <w:pPr>
        <w:spacing w:after="60"/>
      </w:pPr>
      <w:r>
        <w:rPr>
          <w:sz w:val="18"/>
        </w:rPr>
        <w:t xml:space="preserve">[32] Azmon A, Faes C, Hens N. Estimating the reproduction number from incompletely observed outbreaks: real-time monitoring and reporting delay adjustment. Epidemics, 2014, 9: 30-38. DOI: 10.1016/j.epidem.2014.09.006.</w:t>
      </w:r>
    </w:p>
    <w:p w14:paraId="001001B6" w14:textId="001001B7">
      <w:pPr>
        <w:spacing w:after="60"/>
      </w:pPr>
      <w:r>
        <w:rPr>
          <w:sz w:val="18"/>
        </w:rPr>
        <w:t xml:space="preserve">[33] Rohani P, Keeling M J, Grenfell B T. The interplay between environmental and demographic stochasticity in infectious disease dynamics. Science, 2002, 297(5583): 1010-1012. DOI: 10.1126/science.1073801.</w:t>
      </w:r>
    </w:p>
    <w:sectPr>
      <w:footerReference w:type="default" r:id="R0d72c7b6a970487d"/>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8" w14:textId="001001BA">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37c8434a1c447b5" /><Relationship Type="http://schemas.openxmlformats.org/officeDocument/2006/relationships/styles" Target="/word/styles.xml" Id="R09f4fb99a8af46e0" /><Relationship Type="http://schemas.openxmlformats.org/officeDocument/2006/relationships/theme" Target="/word/theme/theme1.xml" Id="R99acc75556d3490e" /><Relationship Type="http://schemas.openxmlformats.org/officeDocument/2006/relationships/numbering" Target="/word/numbering.xml" Id="Rea13481ca011463c" /><Relationship Type="http://schemas.openxmlformats.org/officeDocument/2006/relationships/image" Target="/media/image.png" Id="R9e7e8e841d32445d" /><Relationship Type="http://schemas.openxmlformats.org/officeDocument/2006/relationships/image" Target="/media/image2.png" Id="Rfb8eb90f99904fbd" /><Relationship Type="http://schemas.openxmlformats.org/officeDocument/2006/relationships/image" Target="/media/image3.png" Id="R2d37475df1bb4861" /><Relationship Type="http://schemas.openxmlformats.org/officeDocument/2006/relationships/footer" Target="/word/footer1.xml" Id="R0d72c7b6a970487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2026-09-29T03:15:36Z</dcterms:created>
  <cp:lastModifiedBy>OfficeCLI</cp:lastModifiedBy>
  <dcterms:modified xsi:type="dcterms:W3CDTF">2026-09-29T03:15:36Z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2026-09-29T03:15:39Z</vt:lpwstr>
  </op:property>
</op:Properties>
</file>