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e087f3eadef4347" /><Relationship Type="http://schemas.openxmlformats.org/package/2006/relationships/metadata/core-properties" Target="/docProps/core.xml" Id="Rdc7f84228e9943c0" /><Relationship Type="http://schemas.openxmlformats.org/officeDocument/2006/relationships/extended-properties" Target="/docProps/app.xml" Id="Rbc0b447aea154b28" /><Relationship Type="http://schemas.openxmlformats.org/officeDocument/2006/relationships/custom-properties" Target="/docProps/custom.xml" Id="R6aa60d26be394be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由此导出两项相等的平滑交叉点m_×（对应信度比等于0.5的结构位置）；（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与理论量级相容；误差预算分解表明与规模无关份额占39%–55%（回顾口径54.6%），大规模观测（D_t≥250）误差降至全体平均的约六成；达峰期近89%总体误差来自平稳基准偏移，控制偏移后规模项依然有效；时变交叉点在流感季（中位数19.7—20.4）与非流感季（46.9—47.9）系统性分异。上述结果打破了单一追求病例规模的监测迷思，为公共卫生资源在扩大捕获、多期平滑与引入环境协变量之间的优化配置提供了量化理论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推论1（成本与预算约束下的最优监测规模）：设每期固定运转成本为c_0&gt;0，每上报一例边际成本为c_1&gt;0，在总成本C=T(c_0+c_1 m)约束下最小化方差Var(R̄_T)，一阶导给出的唯一最优规模为m*=sqrt((c_0/c_1)·m_×)。这表明方差交叉点m_×是监测资源优化配置的充分统计量。</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2208c4a9c1244338"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628be3b963b2416b"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1.8295）。在每个独立季节内部，第一阶段稳健F统计量均大于75（排除弱工具假设）；按州聚类bootstrap检验下各季节b_iv&gt;0均保持显著，但差值CI跨越零，该对照定位为说明规模效应正向存在的稳健性证据。</w:t>
      </w:r>
    </w:p>
    <w:p w14:paraId="001000DC" w14:textId="001000DD">
      <w:pPr>
        <w:ind w:firstLine="420"/>
      </w:pPr>
      <w:r>
        <w:rPr>
          <w:sz w:val="21"/>
        </w:rPr>
        <w:t xml:space="preserve">过度离散结构Var(L)/E[L]²从[5,20)箱的5.32单调降至[600,5000)箱的0.99，与理论形状一致。</w:t>
      </w:r>
    </w:p>
    <w:p w14:paraId="001000DE" w14:textId="001000DF">
      <w:pPr>
        <w:ind w:firstLine="420"/>
      </w:pPr>
      <w:r>
        <w:rPr>
          <w:sz w:val="21"/>
        </w:rPr>
        <w:t xml:space="preserve">预测偏差项与机制隐含斜率的分解检验：依更新过程展开式，总相对预测方差严格分解为条件方差项与预测偏差项。若以2周滑动窗口估计量作为局部期望比的经验代理，实测偏差项在全波段均值为0.1252（占总损失70.3%），纯条件方差项均值为0.2230（占125.2%），交叉项为-0.1702（占-95.6%）。经验代理自身包含小计数采样波动，未满足零交叉项正交假定；但纯条件方差项斜率依然高达b_var=3.3553（b_bias=0.3416），定性显示时间序列更新过程中的规模敏感性主导来自条件方差，而非单纯的趋势预测偏差。</w:t>
      </w:r>
    </w:p>
    <w:p w14:paraId="001000E0" w14:textId="001000E1">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2" w14:textId="001000E3">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4" w14:textId="001000E5">
            <w:r>
              <w:t xml:space="preserve">每周有效规模D_t</w:t>
            </w:r>
          </w:p>
        </w:tc>
        <w:tc>
          <w:p w14:paraId="001000E6" w14:textId="001000E7">
            <w:r>
              <w:t xml:space="preserve">样本数N</w:t>
            </w:r>
          </w:p>
        </w:tc>
        <w:tc>
          <w:p w14:paraId="001000E8" w14:textId="001000E9">
            <w:r>
              <w:t xml:space="preserve">阶段均值基准</w:t>
            </w:r>
          </w:p>
        </w:tc>
        <w:tc>
          <w:p w14:paraId="001000EA" w14:textId="001000EB">
            <w:r>
              <w:t xml:space="preserve">Cori 2周窗基线</w:t>
            </w:r>
          </w:p>
        </w:tc>
        <w:tc>
          <w:p w14:paraId="001000EC" w14:textId="001000ED">
            <w:r>
              <w:t xml:space="preserve">Cori 3周窗基线</w:t>
            </w:r>
          </w:p>
        </w:tc>
        <w:tc>
          <w:p w14:paraId="001000EE" w14:textId="001000EF">
            <w:r>
              <w:t xml:space="preserve">朴素平移基线</w:t>
            </w:r>
          </w:p>
        </w:tc>
      </w:tr>
      <w:tr>
        <w:trPr/>
        <w:tc>
          <w:p w14:paraId="001000F0" w14:textId="001000F1">
            <w:r>
              <w:t xml:space="preserve">[5,20)</w:t>
            </w:r>
          </w:p>
        </w:tc>
        <w:tc>
          <w:p w14:paraId="001000F2" w14:textId="001000F3">
            <w:r>
              <w:t xml:space="preserve">319</w:t>
            </w:r>
          </w:p>
        </w:tc>
        <w:tc>
          <w:p w14:paraId="001000F4" w14:textId="001000F5">
            <w:r>
              <w:t xml:space="preserve">0.3292</w:t>
            </w:r>
          </w:p>
        </w:tc>
        <w:tc>
          <w:p w14:paraId="001000F6" w14:textId="001000F7">
            <w:r>
              <w:t xml:space="preserve">0.6576</w:t>
            </w:r>
          </w:p>
        </w:tc>
        <w:tc>
          <w:p w14:paraId="001000F8" w14:textId="001000F9">
            <w:r>
              <w:t xml:space="preserve">0.5606</w:t>
            </w:r>
          </w:p>
        </w:tc>
        <w:tc>
          <w:p w14:paraId="001000FA" w14:textId="001000FB">
            <w:r>
              <w:t xml:space="preserve">1.2563</w:t>
            </w:r>
          </w:p>
        </w:tc>
      </w:tr>
      <w:tr>
        <w:trPr/>
        <w:tc>
          <w:p w14:paraId="001000FC" w14:textId="001000FD">
            <w:r>
              <w:t xml:space="preserve">[20,50)</w:t>
            </w:r>
          </w:p>
        </w:tc>
        <w:tc>
          <w:p w14:paraId="001000FE" w14:textId="001000FF">
            <w:r>
              <w:t xml:space="preserve">297</w:t>
            </w:r>
          </w:p>
        </w:tc>
        <w:tc>
          <w:p w14:paraId="00100100" w14:textId="00100101">
            <w:r>
              <w:t xml:space="preserve">0.1605</w:t>
            </w:r>
          </w:p>
        </w:tc>
        <w:tc>
          <w:p w14:paraId="00100102" w14:textId="00100103">
            <w:r>
              <w:t xml:space="preserve">0.2576</w:t>
            </w:r>
          </w:p>
        </w:tc>
        <w:tc>
          <w:p w14:paraId="00100104" w14:textId="00100105">
            <w:r>
              <w:t xml:space="preserve">0.2288</w:t>
            </w:r>
          </w:p>
        </w:tc>
        <w:tc>
          <w:p w14:paraId="00100106" w14:textId="00100107">
            <w:r>
              <w:t xml:space="preserve">0.5528</w:t>
            </w:r>
          </w:p>
        </w:tc>
      </w:tr>
      <w:tr>
        <w:trPr/>
        <w:tc>
          <w:p w14:paraId="00100108" w14:textId="00100109">
            <w:r>
              <w:t xml:space="preserve">[50,100)</w:t>
            </w:r>
          </w:p>
        </w:tc>
        <w:tc>
          <w:p w14:paraId="0010010A" w14:textId="0010010B">
            <w:r>
              <w:t xml:space="preserve">187</w:t>
            </w:r>
          </w:p>
        </w:tc>
        <w:tc>
          <w:p w14:paraId="0010010C" w14:textId="0010010D">
            <w:r>
              <w:t xml:space="preserve">0.1446</w:t>
            </w:r>
          </w:p>
        </w:tc>
        <w:tc>
          <w:p w14:paraId="0010010E" w14:textId="0010010F">
            <w:r>
              <w:t xml:space="preserve">0.2271</w:t>
            </w:r>
          </w:p>
        </w:tc>
        <w:tc>
          <w:p w14:paraId="00100110" w14:textId="00100111">
            <w:r>
              <w:t xml:space="preserve">0.1680</w:t>
            </w:r>
          </w:p>
        </w:tc>
        <w:tc>
          <w:p w14:paraId="00100112" w14:textId="00100113">
            <w:r>
              <w:t xml:space="preserve">0.5639</w:t>
            </w:r>
          </w:p>
        </w:tc>
      </w:tr>
      <w:tr>
        <w:trPr/>
        <w:tc>
          <w:p w14:paraId="00100114" w14:textId="00100115">
            <w:r>
              <w:t xml:space="preserve">[100,250)</w:t>
            </w:r>
          </w:p>
        </w:tc>
        <w:tc>
          <w:p w14:paraId="00100116" w14:textId="00100117">
            <w:r>
              <w:t xml:space="preserve">220</w:t>
            </w:r>
          </w:p>
        </w:tc>
        <w:tc>
          <w:p w14:paraId="00100118" w14:textId="00100119">
            <w:r>
              <w:t xml:space="preserve">0.1118</w:t>
            </w:r>
          </w:p>
        </w:tc>
        <w:tc>
          <w:p w14:paraId="0010011A" w14:textId="0010011B">
            <w:r>
              <w:t xml:space="preserve">0.0903</w:t>
            </w:r>
          </w:p>
        </w:tc>
        <w:tc>
          <w:p w14:paraId="0010011C" w14:textId="0010011D">
            <w:r>
              <w:t xml:space="preserve">0.0870</w:t>
            </w:r>
          </w:p>
        </w:tc>
        <w:tc>
          <w:p w14:paraId="0010011E" w14:textId="0010011F">
            <w:r>
              <w:t xml:space="preserve">0.3999</w:t>
            </w:r>
          </w:p>
        </w:tc>
      </w:tr>
      <w:tr>
        <w:trPr/>
        <w:tc>
          <w:p w14:paraId="00100120" w14:textId="00100121">
            <w:r>
              <w:t xml:space="preserve">[250,600)</w:t>
            </w:r>
          </w:p>
        </w:tc>
        <w:tc>
          <w:p w14:paraId="00100122" w14:textId="00100123">
            <w:r>
              <w:t xml:space="preserve">152</w:t>
            </w:r>
          </w:p>
        </w:tc>
        <w:tc>
          <w:p w14:paraId="00100124" w14:textId="00100125">
            <w:r>
              <w:t xml:space="preserve">0.1032</w:t>
            </w:r>
          </w:p>
        </w:tc>
        <w:tc>
          <w:p w14:paraId="00100126" w14:textId="00100127">
            <w:r>
              <w:t xml:space="preserve">0.0975</w:t>
            </w:r>
          </w:p>
        </w:tc>
        <w:tc>
          <w:p w14:paraId="00100128" w14:textId="00100129">
            <w:r>
              <w:t xml:space="preserve">0.0903</w:t>
            </w:r>
          </w:p>
        </w:tc>
        <w:tc>
          <w:p w14:paraId="0010012A" w14:textId="0010012B">
            <w:r>
              <w:t xml:space="preserve">0.2356</w:t>
            </w:r>
          </w:p>
        </w:tc>
      </w:tr>
      <w:tr>
        <w:trPr/>
        <w:tc>
          <w:p w14:paraId="0010012C" w14:textId="0010012D">
            <w:r>
              <w:t xml:space="preserve">[600,5000)</w:t>
            </w:r>
          </w:p>
        </w:tc>
        <w:tc>
          <w:p w14:paraId="0010012E" w14:textId="0010012F">
            <w:r>
              <w:t xml:space="preserve">92</w:t>
            </w:r>
          </w:p>
        </w:tc>
        <w:tc>
          <w:p w14:paraId="00100130" w14:textId="00100131">
            <w:r>
              <w:t xml:space="preserve">0.1054</w:t>
            </w:r>
          </w:p>
        </w:tc>
        <w:tc>
          <w:p w14:paraId="00100132" w14:textId="00100133">
            <w:r>
              <w:t xml:space="preserve">0.0983</w:t>
            </w:r>
          </w:p>
        </w:tc>
        <w:tc>
          <w:p w14:paraId="00100134" w14:textId="00100135">
            <w:r>
              <w:t xml:space="preserve">0.0982</w:t>
            </w:r>
          </w:p>
        </w:tc>
        <w:tc>
          <w:p w14:paraId="00100136" w14:textId="00100137">
            <w:r>
              <w:t xml:space="preserve">0.1360</w:t>
            </w:r>
          </w:p>
        </w:tc>
      </w:tr>
      <w:tr>
        <w:trPr/>
        <w:tc>
          <w:p w14:paraId="00100138" w14:textId="00100139">
            <w:r>
              <w:t xml:space="preserve">全体样本均值</w:t>
            </w:r>
          </w:p>
        </w:tc>
        <w:tc>
          <w:p w14:paraId="0010013A" w14:textId="0010013B">
            <w:r>
              <w:t xml:space="preserve">1267</w:t>
            </w:r>
          </w:p>
        </w:tc>
        <w:tc>
          <w:p w14:paraId="0010013C" w14:textId="0010013D">
            <w:r>
              <w:t xml:space="preserve">0.1813</w:t>
            </w:r>
          </w:p>
        </w:tc>
        <w:tc>
          <w:p w14:paraId="0010013E" w14:textId="0010013F">
            <w:r>
              <w:t xml:space="preserve">0.2876</w:t>
            </w:r>
          </w:p>
        </w:tc>
        <w:tc>
          <w:p w14:paraId="00100140" w14:textId="00100141">
            <w:r>
              <w:t xml:space="preserve">0.2490</w:t>
            </w:r>
          </w:p>
        </w:tc>
        <w:tc>
          <w:p w14:paraId="00100142" w14:textId="00100143">
            <w:r>
              <w:t xml:space="preserve">0.6367</w:t>
            </w:r>
          </w:p>
        </w:tc>
      </w:tr>
      <w:tr>
        <w:trPr/>
        <w:tc>
          <w:p w14:paraId="00100144" w14:textId="00100145">
            <w:r>
              <w:t xml:space="preserve">全体样本中位数</w:t>
            </w:r>
          </w:p>
        </w:tc>
        <w:tc>
          <w:p w14:paraId="00100146" w14:textId="00100147">
            <w:r>
              <w:t xml:space="preserve">1267</w:t>
            </w:r>
          </w:p>
        </w:tc>
        <w:tc>
          <w:p w14:paraId="00100148" w14:textId="00100149">
            <w:r>
              <w:t xml:space="preserve">0.0653</w:t>
            </w:r>
          </w:p>
        </w:tc>
        <w:tc>
          <w:p w14:paraId="0010014A" w14:textId="0010014B">
            <w:r>
              <w:t xml:space="preserve">0.0658</w:t>
            </w:r>
          </w:p>
        </w:tc>
        <w:tc>
          <w:p w14:paraId="0010014C" w14:textId="0010014D">
            <w:r>
              <w:t xml:space="preserve">0.0626</w:t>
            </w:r>
          </w:p>
        </w:tc>
        <w:tc>
          <w:p w14:paraId="0010014E" w14:textId="0010014F">
            <w:r>
              <w:t xml:space="preserve">0.1732</w:t>
            </w:r>
          </w:p>
        </w:tc>
      </w:tr>
    </w:tbl>
    <w:p w14:paraId="00100150" w14:textId="00100151">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2" w14:textId="00100153">
      <w:pPr>
        <w:pStyle w:val="Heading2"/>
        <w:spacing w:before="240" w:after="120"/>
      </w:pPr>
      <w:r>
        <w:rPr>
          <w:b/>
          <w:sz w:val="28"/>
        </w:rPr>
        <w:t xml:space="preserve">5.3检验二：达峰期——失效的是平稳基准而非病例规模</w:t>
      </w:r>
    </w:p>
    <w:p w14:paraId="00100154" w14:textId="00100155">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6" w14:textId="00100157">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8" w14:textId="00100159">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A" w14:textId="0010015B">
      <w:pPr>
        <w:pStyle w:val="Heading2"/>
        <w:spacing w:before="240" w:after="120"/>
      </w:pPr>
      <w:r>
        <w:rPr>
          <w:b/>
          <w:sz w:val="28"/>
        </w:rPr>
        <w:t xml:space="preserve">5.4检验三：报告制度切换对观测噪声的冲击</w:t>
      </w:r>
    </w:p>
    <w:p w14:paraId="0010015C" w14:textId="0010015D">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E" w14:textId="0010015F">
      <w:pPr>
        <w:pStyle w:val="Heading2"/>
        <w:spacing w:before="240" w:after="120"/>
      </w:pPr>
      <w:r>
        <w:rPr>
          <w:b/>
          <w:sz w:val="28"/>
        </w:rPr>
        <w:t xml:space="preserve">5.5检验四：空间跨区域汇聚的方差收益与边界</w:t>
      </w:r>
    </w:p>
    <w:p w14:paraId="00100160" w14:textId="00100161">
      <w:pPr>
        <w:ind w:firstLine="420"/>
      </w:pPr>
      <w:r>
        <w:rPr>
          <w:sz w:val="21"/>
        </w:rPr>
        <w:t xml:space="preserve">将51个州级单位按周加总构建全美序列：流行初期波段平均周捕获规模约6662例，单步预测相对均方误差降至0.0348（中位数0.0115，N=28），低于单州平台（约0.10，约降至三分之一）。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2" w14:textId="00100163">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6e8c9cf5b1cb4f08" cstate="print"/>
                    <a:stretch>
                      <a:fillRect/>
                    </a:stretch>
                  </pic:blipFill>
                  <pic:spPr>
                    <a:xfrm>
                      <a:off x="0" y="0"/>
                      <a:ext cx="5394960" cy="3942416"/>
                    </a:xfrm>
                    <a:prstGeom prst="rect">
                      <a:avLst/>
                    </a:prstGeom>
                  </pic:spPr>
                </pic:pic>
              </a:graphicData>
            </a:graphic>
          </wp:inline>
        </w:drawing>
      </w:r>
    </w:p>
    <w:p w14:paraId="00100164" w14:textId="00100165">
      <w:pPr>
        <w:spacing w:before="60" w:after="200"/>
        <w:jc w:val="center"/>
      </w:pPr>
      <w:r>
        <w:rPr>
          <w:b/>
          <w:sz w:val="18"/>
        </w:rPr>
        <w:t xml:space="preserve">图3 全美CDC NHSN流感住院真实监测数据实证检验</w:t>
      </w:r>
    </w:p>
    <w:p w14:paraId="00100166" w14:textId="00100167">
      <w:pPr>
        <w:pStyle w:val="Heading1"/>
        <w:spacing w:before="260" w:after="260"/>
      </w:pPr>
      <w:r>
        <w:rPr>
          <w:b/>
          <w:sz w:val="32"/>
        </w:rPr>
        <w:t xml:space="preserve">6讨论与结论</w:t>
      </w:r>
    </w:p>
    <w:p w14:paraId="00100168" w14:textId="00100169">
      <w:pPr>
        <w:pStyle w:val="Heading2"/>
        <w:spacing w:before="240" w:after="120"/>
      </w:pPr>
      <w:r>
        <w:rPr>
          <w:b/>
          <w:sz w:val="28"/>
        </w:rPr>
        <w:t xml:space="preserve">6.1机制讨论与理论对话</w:t>
      </w:r>
    </w:p>
    <w:p w14:paraId="0010016A" w14:textId="0010016B">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C" w14:textId="0010016D">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E" w14:textId="0010016F">
      <w:pPr>
        <w:pStyle w:val="Heading2"/>
        <w:spacing w:before="240" w:after="120"/>
      </w:pPr>
      <w:r>
        <w:rPr>
          <w:b/>
          <w:sz w:val="28"/>
        </w:rPr>
        <w:t xml:space="preserve">6.2研究局限与证据分层</w:t>
      </w:r>
    </w:p>
    <w:p w14:paraId="00100170" w14:textId="00100171">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有所放大。（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F&gt;270）排除了变量误差导致的衰减偏倚，但非实验宏观监测数据的排除限制在理论上无法绝对保证；同时，自愿填报期覆盖率冲击与夏季低发期重叠，相关对比定位为与二项抽稀机制相容的描述性证据。</w:t>
      </w:r>
    </w:p>
    <w:p w14:paraId="00100172" w14:textId="00100173">
      <w:pPr>
        <w:pStyle w:val="Heading2"/>
        <w:spacing w:before="240" w:after="120"/>
      </w:pPr>
      <w:r>
        <w:rPr>
          <w:b/>
          <w:sz w:val="28"/>
        </w:rPr>
        <w:t xml:space="preserve">6.3结论</w:t>
      </w:r>
    </w:p>
    <w:p w14:paraId="00100174" w14:textId="00100175">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盲目堆砌病例数量的“样本量迷思”、推动监测资源向环境协变量采集与多期时空平滑配置提供了量化理论判据。未来研究可进一步结合显式气象行为数据与非对称损失函数，拓展动态状态空间滤波下的实时监测优化设计。</w:t>
      </w:r>
    </w:p>
    <w:p w14:paraId="00100176" w14:textId="00100177">
      <w:pPr>
        <w:pStyle w:val="Heading1"/>
        <w:spacing w:before="260" w:after="260"/>
      </w:pPr>
      <w:r>
        <w:rPr>
          <w:b/>
          <w:sz w:val="32"/>
        </w:rPr>
        <w:t xml:space="preserve">数据与代码可用性声明</w:t>
      </w:r>
    </w:p>
    <w:p w14:paraId="00100178" w14:textId="00100179">
      <w:pPr>
        <w:ind w:firstLine="420"/>
      </w:pPr>
      <w:r>
        <w:rPr>
          <w:sz w:val="21"/>
        </w:rPr>
        <w:t xml:space="preserve">本文实证所用的全美各州周度流感住院监测数据来源于美国疾病控制与预防中心国家医疗保健安全网（CDC NHSN）公开数据库，访问日期为2026年9月5日。本研究全部仿真模拟脚本、计量实证分析代码与原始固化数据均已开源共享，访问地址为：https://github.com/wangchi2068/case-count-inference-bottleneck。</w:t>
      </w:r>
    </w:p>
    <w:p w14:paraId="0010017A" w14:textId="0010017B">
      <w:pPr>
        <w:pStyle w:val="Heading1"/>
        <w:spacing w:before="260" w:after="260"/>
      </w:pPr>
      <w:r>
        <w:rPr>
          <w:b/>
          <w:sz w:val="32"/>
        </w:rPr>
        <w:t xml:space="preserve">参考文献</w:t>
      </w:r>
    </w:p>
    <w:p w14:paraId="0010017C" w14:textId="0010017D">
      <w:pPr>
        <w:spacing w:after="60"/>
      </w:pPr>
      <w:r>
        <w:rPr>
          <w:sz w:val="18"/>
        </w:rPr>
        <w:t xml:space="preserve">[1] Lloyd-Smith J O, Schreiber S J, Kopp P E, Getz W M. Superspreading and the effect of individual variation on disease emergence. Nature, 2005, 438(7066): 355-359. DOI: 10.1038/nature04153.</w:t>
      </w:r>
    </w:p>
    <w:p w14:paraId="0010017E" w14:textId="0010017F">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80" w14:textId="00100181">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2" w14:textId="00100183">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4" w14:textId="00100185">
      <w:pPr>
        <w:spacing w:after="60"/>
      </w:pPr>
      <w:r>
        <w:rPr>
          <w:sz w:val="18"/>
        </w:rPr>
        <w:t xml:space="preserve">[5] Fraser C. Estimating individual and household reproduction numbers in an emerging epidemic. PLOS ONE, 2007, 2(8): e758. DOI: 10.1371/journal.pone.0000758.</w:t>
      </w:r>
    </w:p>
    <w:p w14:paraId="00100186" w14:textId="00100187">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8" w14:textId="00100189">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A" w14:textId="0010018B">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C" w14:textId="0010018D">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E" w14:textId="0010018F">
      <w:pPr>
        <w:spacing w:after="60"/>
      </w:pPr>
      <w:r>
        <w:rPr>
          <w:sz w:val="18"/>
        </w:rPr>
        <w:t xml:space="preserve">[10] Parag K V, Donnelly C A, Zarebski A E. Quantifying the information in noisy epidemic curves. Nature Computational Science, 2022, 2(9): 584-594. DOI: 10.1038/s43588-022-00313-1.</w:t>
      </w:r>
    </w:p>
    <w:p w14:paraId="00100190" w14:textId="00100191">
      <w:pPr>
        <w:spacing w:after="60"/>
      </w:pPr>
      <w:r>
        <w:rPr>
          <w:sz w:val="18"/>
        </w:rPr>
        <w:t xml:space="preserve">[11] Parag K V, Lambert B, Donnelly C A, Beregi S. Asymmetric limits on timely interventions from noisy epidemic data. Communications Physics, 2025, 8: 450. DOI: 10.1038/s42005-025-02358-w.</w:t>
      </w:r>
    </w:p>
    <w:p w14:paraId="00100192" w14:textId="00100193">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4" w14:textId="00100195">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6" w14:textId="00100197">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8" w14:textId="00100199">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A" w14:textId="0010019B">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C" w14:textId="0010019D">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E" w14:textId="0010019F">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A0" w14:textId="001001A1">
      <w:pPr>
        <w:spacing w:after="60"/>
      </w:pPr>
      <w:r>
        <w:rPr>
          <w:sz w:val="18"/>
        </w:rPr>
        <w:t xml:space="preserve">[19] Dalziel B D, Kissler S, Gog J R, et al. Urbanization and humidity shape the intensity of influenza epidemics in U.S. cities. Science, 2018, 362(6410): 75-79. DOI: 10.1126/science.aat6030.</w:t>
      </w:r>
    </w:p>
    <w:p w14:paraId="001001A2" w14:textId="001001A3">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4" w14:textId="001001A5">
      <w:pPr>
        <w:spacing w:after="60"/>
      </w:pPr>
      <w:r>
        <w:rPr>
          <w:sz w:val="18"/>
        </w:rPr>
        <w:t xml:space="preserve">[21] Nouvellet P, Cori A, Garske T, et al. A simple approach to measure transmissibility and forecast incidence. Epidemics, 2018, 22: 29-35. DOI: 10.1016/j.epidem.2017.02.012.</w:t>
      </w:r>
    </w:p>
    <w:p w14:paraId="001001A6" w14:textId="001001A7">
      <w:pPr>
        <w:spacing w:after="60"/>
      </w:pPr>
      <w:r>
        <w:rPr>
          <w:sz w:val="18"/>
        </w:rPr>
        <w:t xml:space="preserve">[22] Fuller W A. Measurement Error Models. New York: John Wiley &amp; Sons, 1987. DOI: 10.1002/9780470316665.</w:t>
      </w:r>
    </w:p>
    <w:p w14:paraId="001001A8" w14:textId="001001A9">
      <w:pPr>
        <w:spacing w:after="60"/>
      </w:pPr>
      <w:r>
        <w:rPr>
          <w:sz w:val="18"/>
        </w:rPr>
        <w:t xml:space="preserve">[23] Carroll R J, Ruppert D, Stefanski L A, Crainiceanu C M. Measurement Error in Nonlinear Models: A Modern Approach. 2nd ed. Boca Raton: Chapman &amp; Hall/CRC, 2006. DOI: 10.1201/9781420010138.</w:t>
      </w:r>
    </w:p>
    <w:p w14:paraId="001001AA" w14:textId="001001AB">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C" w14:textId="001001AD">
      <w:pPr>
        <w:spacing w:after="60"/>
      </w:pPr>
      <w:r>
        <w:rPr>
          <w:sz w:val="18"/>
        </w:rPr>
        <w:t xml:space="preserve">[25] Verbeke G, Molenberghs G. Linear Mixed Models for Longitudinal Data. New York: Springer, 2000. DOI: 10.1007/978-1-4419-0300-6.</w:t>
      </w:r>
    </w:p>
    <w:p w14:paraId="001001AE" w14:textId="001001AF">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B0" w14:textId="001001B1">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2" w14:textId="001001B3">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4" w14:textId="001001B5">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6" w14:textId="001001B7">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8" w14:textId="001001B9">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A" w14:textId="001001BB">
      <w:pPr>
        <w:spacing w:after="60"/>
      </w:pPr>
      <w:r>
        <w:rPr>
          <w:sz w:val="18"/>
        </w:rPr>
        <w:t xml:space="preserve">[32] Azmon A, Faes C, Hens N. On the estimation of the reproduction number based on misreported epidemic data. Statistics in Medicine, 2014, 33(7): 1176-1192. DOI: 10.1002/sim.6015.</w:t>
      </w:r>
    </w:p>
    <w:p w14:paraId="001001BC" w14:textId="001001BD">
      <w:pPr>
        <w:spacing w:after="60"/>
      </w:pPr>
      <w:r>
        <w:rPr>
          <w:sz w:val="18"/>
        </w:rPr>
        <w:t xml:space="preserve">[33] Rohani P, Keeling M J, Grenfell B T. The interplay between determinism and stochasticity in childhood diseases. The American Naturalist, 2002, 159(5): 469-481. DOI: 10.1086/339467.</w:t>
      </w:r>
    </w:p>
    <w:p w14:paraId="001001BE" w14:textId="001001BF">
      <w:pPr>
        <w:spacing w:after="60"/>
      </w:pPr>
      <w:r>
        <w:rPr>
          <w:sz w:val="18"/>
        </w:rPr>
        <w:t xml:space="preserve">[34] Centers for Disease Control and Prevention. Weekly Hospital Respiratory Data Metrics by Jurisdiction. 2026. URL: https://data.cdc.gov/ (accessed 2026-09-05).</w:t>
      </w:r>
    </w:p>
    <w:sectPr>
      <w:footerReference w:type="default" r:id="Rff148b91b23d474f"/>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C0" w14:textId="001001C2">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02b676153b744adc" /><Relationship Type="http://schemas.openxmlformats.org/officeDocument/2006/relationships/styles" Target="/word/styles.xml" Id="R8ae00a89eb544254" /><Relationship Type="http://schemas.openxmlformats.org/officeDocument/2006/relationships/theme" Target="/word/theme/theme1.xml" Id="R835439533c274b06" /><Relationship Type="http://schemas.openxmlformats.org/officeDocument/2006/relationships/numbering" Target="/word/numbering.xml" Id="R2957e8baeb854505" /><Relationship Type="http://schemas.openxmlformats.org/officeDocument/2006/relationships/image" Target="/media/image.png" Id="R2208c4a9c1244338" /><Relationship Type="http://schemas.openxmlformats.org/officeDocument/2006/relationships/image" Target="/media/image2.png" Id="R628be3b963b2416b" /><Relationship Type="http://schemas.openxmlformats.org/officeDocument/2006/relationships/image" Target="/media/image3.png" Id="R6e8c9cf5b1cb4f08" /><Relationship Type="http://schemas.openxmlformats.org/officeDocument/2006/relationships/footer" Target="/word/footer1.xml" Id="Rff148b91b23d474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2026-09-29T04:15:34Z</dcterms:created>
  <cp:lastModifiedBy>OfficeCLI</cp:lastModifiedBy>
  <dcterms:modified xsi:type="dcterms:W3CDTF">2026-09-29T04:15:34Z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2026-09-29T04:15:37Z</vt:lpwstr>
  </op:property>
</op:Properties>
</file>