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88" w:lineRule="auto"/>
        <w:jc w:val="center"/>
      </w:pPr>
      <w:r>
        <w:rPr>
          <w:rFonts w:ascii="SimHei" w:hAnsi="SimHei"/>
          <w:b/>
          <w:i w:val="0"/>
          <w:color w:val="000000"/>
          <w:sz w:val="36"/>
          <w:rFonts w:ascii="SimHei" w:hAnsi="SimHei" w:eastAsia="SimHei"/>
        </w:rPr>
        <w:t>流行病传播动力学的可预测视界、极限机制与实证研究</w:t>
      </w:r>
    </w:p>
    <w:p>
      <w:pPr>
        <w:spacing w:before="0" w:after="280" w:line="288" w:lineRule="auto"/>
        <w:jc w:val="center"/>
      </w:pPr>
      <w:r>
        <w:rPr>
          <w:rFonts w:ascii="KaiTi" w:hAnsi="KaiTi"/>
          <w:b w:val="0"/>
          <w:i/>
          <w:color w:val="000000"/>
          <w:sz w:val="22"/>
          <w:rFonts w:ascii="KaiTi" w:hAnsi="KaiTi" w:eastAsia="KaiTi"/>
        </w:rPr>
        <w:t>（学术期刊盲审稿 · 完整数理推导与多病原体实证基准）</w:t>
      </w:r>
    </w:p>
    <w:p>
      <w:pPr>
        <w:spacing w:before="80" w:after="120" w:line="288" w:lineRule="auto"/>
        <w:ind w:firstLine="420"/>
        <w:jc w:val="left"/>
      </w:pPr>
      <w:r>
        <w:rPr>
          <w:rFonts w:ascii="SimSun" w:hAnsi="SimSun"/>
          <w:b w:val="0"/>
          <w:i w:val="0"/>
          <w:color w:val="000000"/>
          <w:sz w:val="19"/>
          <w:rFonts w:ascii="SimSun" w:hAnsi="SimSun" w:eastAsia="SimSun"/>
        </w:rPr>
        <w:t>【摘要】前瞻性定量预测是传染病暴发早期精准干预的基石，但在近临界（R 接近 1）与超临界早期阶段，预测误差频繁发生非线性急剧发散，这一现象的本质机理与物理边界长期缺乏第一性原理理论刻画。本文基于非齐次负二项分支过程，首次严格推导了相对均方误差（relMSE）关于群体内在随机性变异系数（CV^2）、传播率环境随机漂移（E_drift）与再生数参数外推不确定性（P）的加性正交分解，在领先阶 Taylor 展开下导出了可预测视界的解析闭式解 h* = (R / delta R) * sqrt(tau^2 - CV_inf^2) 及严格高阶连续数值积分根 h*_exact。理论证明：(1) 群体内在随机性方差下界与初始有效感染基数 I0 及过度离散参数 k 成严格反比，在大样本宏观聚合下被大数定律渐近稀释，但在微观初发小暴发下形成刚性方差地板；(2) 在有限宿主种群 N 的近临界扩散极限定理下，系统在宽度为 O(N^(-1/2)) 的临界过渡窗口内展现临界慢化，特征弛豫时间按 O(N^(1/2)) 发散；(3) 建立了超临界再生数推断的信息论 Cramér–Rao 下界，推导了区分亚临界与超临界的最小样本量门槛（单位信噪比门槛 231 例，80% 统计功效门槛 1,428 例），并量化了平稳自回归增长率下的方差累积律；(4) 算法基准数值检验表明，在正确设定的分支过程中，两层 MLP 神经估计器经验方差为 Cramér–Rao 界（CRB）的 6.69 倍（反映小样本浅层网络在离散分支噪声下的统计效率损耗，而非全类学习算法的固有常数），而有效极大似然估计在统计不确定度内与 CRB 严格吻合（中位比值 1.000，95% 置信区间 0.995–1.002）。基于美国疾病预防控制中心（CDC）三大呼吸道传染病（COVID-19、季节性流感与 RSV）七大典型流行阶段的实测序列，理论预测视界精确根点估计为 2.9–13.5 周（各流行阶段 95% 置信区间并集为 1.8–20.0 周，RSV 截断前纯数学外推根为 43.9–70.1 周）；实测四项误差记账核算显示，未归因结构性闭合余项占 80.0%–96.1%；在实测总相对均方误差不超过容忍度（relMSE &lt;= tau = 0.5）的绝对误差口径下，实测预测视界达 7.0–10.1 周；而相对于朴素持续性外推基线（Skill &lt;= 1.0），机制模型的有效预报技能窗口在 3.8–4.6 周（各病原体为 1–4 周）发生穿越反转。这建立了由“理论机理上限（2.9–13.5 周）—实测绝对误差视界（7.0–10.1 周）—相对基线技能时效（1–4 周）”构成的层级决策认知体系，为公共卫生早期预警与分级决策提供了第一性原理基准。</w:t>
      </w:r>
    </w:p>
    <w:p>
      <w:pPr>
        <w:spacing w:before="0" w:after="280" w:line="288" w:lineRule="auto"/>
        <w:ind w:firstLine="420"/>
        <w:jc w:val="left"/>
      </w:pPr>
      <w:r>
        <w:rPr>
          <w:rFonts w:ascii="SimHei" w:hAnsi="SimHei"/>
          <w:b/>
          <w:i w:val="0"/>
          <w:color w:val="000000"/>
          <w:sz w:val="19"/>
          <w:rFonts w:ascii="SimHei" w:hAnsi="SimHei" w:eastAsia="SimHei"/>
        </w:rPr>
        <w:t>【关键词】传染病预测；可预测视界；分支过程；Cramér–Rao 下界；临界慢化；误差正交分解；公共卫生分级决策</w:t>
      </w:r>
    </w:p>
    <w:p>
      <w:pPr>
        <w:spacing w:before="280" w:after="120" w:line="288" w:lineRule="auto"/>
        <w:jc w:val="left"/>
      </w:pPr>
      <w:r>
        <w:rPr>
          <w:rFonts w:ascii="SimHei" w:hAnsi="SimHei"/>
          <w:b/>
          <w:i w:val="0"/>
          <w:color w:val="000000"/>
          <w:sz w:val="28"/>
          <w:rFonts w:ascii="SimHei" w:hAnsi="SimHei" w:eastAsia="SimHei"/>
        </w:rPr>
        <w:t>0  引言</w:t>
      </w:r>
    </w:p>
    <w:p>
      <w:pPr>
        <w:spacing w:before="0" w:after="60" w:line="288" w:lineRule="auto"/>
        <w:ind w:firstLine="420"/>
        <w:jc w:val="left"/>
      </w:pPr>
      <w:r>
        <w:rPr>
          <w:rFonts w:ascii="SimSun" w:hAnsi="SimSun"/>
          <w:b w:val="0"/>
          <w:i w:val="0"/>
          <w:color w:val="000000"/>
          <w:sz w:val="21"/>
          <w:rFonts w:ascii="SimSun" w:hAnsi="SimSun" w:eastAsia="SimSun"/>
        </w:rPr>
        <w:t>传染病前瞻性预测是现代公共卫生应急决策的核心支柱。在暴发早期准确预测未来几周内的发病轨迹与峰值规模，对于医疗资源跨区调度、刚性 ICU 床位扩容、抗病毒药物储备调拨及分级响应启动至关重要。</w:t>
      </w:r>
    </w:p>
    <w:p>
      <w:pPr>
        <w:spacing w:before="0" w:after="60" w:line="288" w:lineRule="auto"/>
        <w:ind w:firstLine="420"/>
        <w:jc w:val="left"/>
      </w:pPr>
      <w:r>
        <w:rPr>
          <w:rFonts w:ascii="SimSun" w:hAnsi="SimSun"/>
          <w:b w:val="0"/>
          <w:i w:val="0"/>
          <w:color w:val="000000"/>
          <w:sz w:val="21"/>
          <w:rFonts w:ascii="SimSun" w:hAnsi="SimSun" w:eastAsia="SimSun"/>
        </w:rPr>
        <w:t>在此背景下，学界关于疫情可预测性是否存在物理边界存在长期争论。Scarpino 与 Petri (2019) 基于多源疫情时间序列的排列熵分析指出，宏观疫情爆发的时间序列呈现高度的确定性结构与动力学吸引子平滑性，其信息熵阻障往往超出单次疫情的爆发周期，据此提出了“单次疫情爆发在宏观上总体可预测”的重要论断。然而，在以美国 CDC FluSight 和 COVID-19 Forecast Hub 为代表的现代前瞻性业务预报实践中，各类前沿机制模型、集成统计模型与深度学习模型却普遍在 1–4 周后发生预报技能快速衰减。</w:t>
      </w:r>
    </w:p>
    <w:p>
      <w:pPr>
        <w:spacing w:before="0" w:after="60" w:line="288" w:lineRule="auto"/>
        <w:ind w:firstLine="420"/>
        <w:jc w:val="left"/>
      </w:pPr>
      <w:r>
        <w:rPr>
          <w:rFonts w:ascii="SimSun" w:hAnsi="SimSun"/>
          <w:b w:val="0"/>
          <w:i w:val="0"/>
          <w:color w:val="000000"/>
          <w:sz w:val="21"/>
          <w:rFonts w:ascii="SimSun" w:hAnsi="SimSun" w:eastAsia="SimSun"/>
        </w:rPr>
        <w:t>本文的研究正是在这两种看似矛盾的经验事实之间建立桥梁：排列熵等非线性动力学指标衡量的是疫情完整演化轨迹的全局拓扑规律性与宏观可重构性（即宏观动力学吸引子的平滑确定性）；而在公共卫生早期应对所需的实时前瞻性推演中，决策者依赖的是未来各周多步前瞻的具体点值与不确定性分位数。在多步时间外推中，微观离散分支随机性、时变传播率的环境漂移以及前瞻步长的非线性误差累积，会导致预测均方误差迅速膨胀并在 1–4 周内侵蚀行动信号。宏观轨迹的动力学规律性与微观前瞻的业务预测时效限制不仅不矛盾，反而在多尺度信息演化中构成了同一物理过程的两个侧面。</w:t>
      </w:r>
    </w:p>
    <w:p>
      <w:pPr>
        <w:spacing w:before="0" w:after="60" w:line="288" w:lineRule="auto"/>
        <w:ind w:firstLine="420"/>
        <w:jc w:val="left"/>
      </w:pPr>
      <w:r>
        <w:rPr>
          <w:rFonts w:ascii="SimSun" w:hAnsi="SimSun"/>
          <w:b w:val="0"/>
          <w:i w:val="0"/>
          <w:color w:val="000000"/>
          <w:sz w:val="21"/>
          <w:rFonts w:ascii="SimSun" w:hAnsi="SimSun" w:eastAsia="SimSun"/>
        </w:rPr>
        <w:t>针对上述核心挑战，本文的主要创新贡献包括：(1) 首次推导了负二项分支过程下相对均方误差的理论加性正交分解，给出了可预测视界的领先阶解析闭式解与高阶数值积分根；(2) 证明了有限宿主种群近临界扩散极限定理，刻画了临界慢化发散标度；(3) 导出了超临界再生数推断的信息论 Cramér–Rao 下界，确立了最小可辨识样本量门槛；(4) 通过数值基准检验量化了典型统计学习估计量在分支噪声下的效率损耗；(5) 基于美国 CDC 真实多病原体监测序列，完成了四项预测误差记账核算，确立了理论机制上限与业务技能时效相统一的双层分析框架。</w:t>
      </w:r>
    </w:p>
    <w:p>
      <w:pPr>
        <w:spacing w:before="280" w:after="120" w:line="288" w:lineRule="auto"/>
        <w:jc w:val="left"/>
      </w:pPr>
      <w:r>
        <w:rPr>
          <w:rFonts w:ascii="SimHei" w:hAnsi="SimHei"/>
          <w:b/>
          <w:i w:val="0"/>
          <w:color w:val="000000"/>
          <w:sz w:val="28"/>
          <w:rFonts w:ascii="SimHei" w:hAnsi="SimHei" w:eastAsia="SimHei"/>
        </w:rPr>
        <w:t>1  文献综述与理论空白</w:t>
      </w:r>
    </w:p>
    <w:p>
      <w:pPr>
        <w:spacing w:before="0" w:after="60" w:line="288" w:lineRule="auto"/>
        <w:ind w:firstLine="420"/>
        <w:jc w:val="left"/>
      </w:pPr>
      <w:r>
        <w:rPr>
          <w:rFonts w:ascii="SimSun" w:hAnsi="SimSun"/>
          <w:b w:val="0"/>
          <w:i w:val="0"/>
          <w:color w:val="000000"/>
          <w:sz w:val="21"/>
          <w:rFonts w:ascii="SimSun" w:hAnsi="SimSun" w:eastAsia="SimSun"/>
        </w:rPr>
        <w:t>现有关于传染病预测极限的研究主要沿三条独立路径展开：第一条是确定性动力系统路径（如 Castro 等论证的峰值对初值敏感性）；第二条是网络图论与计算复杂性路径（如 Rosenkrantz 等关于网络结构不完备下的计算不可行性）；第三条是统计推断路径（如 Parag 与 Donnelly 导出的离散代泊松信息量下界）。近期，Penn 等 (2023) 进一步探讨了流行病建模中超出统计不确定性的内在随机性。</w:t>
      </w:r>
    </w:p>
    <w:p>
      <w:pPr>
        <w:spacing w:before="0" w:after="60" w:line="288" w:lineRule="auto"/>
        <w:ind w:firstLine="420"/>
        <w:jc w:val="left"/>
      </w:pPr>
      <w:r>
        <w:rPr>
          <w:rFonts w:ascii="SimSun" w:hAnsi="SimSun"/>
          <w:b w:val="0"/>
          <w:i w:val="0"/>
          <w:color w:val="000000"/>
          <w:sz w:val="21"/>
          <w:rFonts w:ascii="SimSun" w:hAnsi="SimSun" w:eastAsia="SimSun"/>
        </w:rPr>
        <w:t>然而，现有研究尚未解决将内在人口随机性、参数推断误差与时变环境漂移统一至单一解析闭式预测视界的核心问题，缺乏面向真实监测多尺度误差的闭合记账核算理论。本文填补了这一重要学术空白。</w:t>
      </w:r>
    </w:p>
    <w:p>
      <w:pPr>
        <w:spacing w:before="280" w:after="120" w:line="288" w:lineRule="auto"/>
        <w:jc w:val="left"/>
      </w:pPr>
      <w:r>
        <w:rPr>
          <w:rFonts w:ascii="SimHei" w:hAnsi="SimHei"/>
          <w:b/>
          <w:i w:val="0"/>
          <w:color w:val="000000"/>
          <w:sz w:val="28"/>
          <w:rFonts w:ascii="SimHei" w:hAnsi="SimHei" w:eastAsia="SimHei"/>
        </w:rPr>
        <w:t>2  理论推导与数学方法</w:t>
      </w:r>
    </w:p>
    <w:p>
      <w:pPr>
        <w:spacing w:before="200" w:after="80" w:line="288" w:lineRule="auto"/>
        <w:jc w:val="left"/>
      </w:pPr>
      <w:r>
        <w:rPr>
          <w:rFonts w:ascii="SimHei" w:hAnsi="SimHei"/>
          <w:b/>
          <w:i w:val="0"/>
          <w:color w:val="000000"/>
          <w:sz w:val="24"/>
          <w:rFonts w:ascii="SimHei" w:hAnsi="SimHei" w:eastAsia="SimHei"/>
        </w:rPr>
        <w:t>2.1  实证数据源与标准化处理规程</w:t>
      </w:r>
    </w:p>
    <w:p>
      <w:pPr>
        <w:spacing w:before="0" w:after="60" w:line="288" w:lineRule="auto"/>
        <w:ind w:firstLine="420"/>
        <w:jc w:val="left"/>
      </w:pPr>
      <w:r>
        <w:rPr>
          <w:rFonts w:ascii="SimSun" w:hAnsi="SimSun"/>
          <w:b w:val="0"/>
          <w:i w:val="0"/>
          <w:color w:val="000000"/>
          <w:sz w:val="21"/>
          <w:rFonts w:ascii="SimSun" w:hAnsi="SimSun" w:eastAsia="SimSun"/>
        </w:rPr>
        <w:t>在实证数据处理中，为确保从公共监测原始序列到动力学参数的端到端完全可复现性，本文制定如下标准化规程：(1) 数据源统一采用美国 CDC 官方监测网络在 2026 年 3 月发布的基准固化数据快照；(2) 流行起步窗口以周新增病例数连续呈现单调指数扩张的最初 W = 4 周作为基准；(3) 宏观负二项过度离散参数采用标准无偏二阶矩法估计：k_agg = bar Z^2 / (S_Z^2 - bar Z)，若样本方差低于泊松方差则截断至数值上限 1000.0；(4) 有效再生数估计标准误 delta R 严格定义为 OLS 斜率估计量标准误乘以代换算系数：delta R = hat R * SE(hat r) * (mu_g / 7)。</w:t>
      </w:r>
    </w:p>
    <w:p>
      <w:pPr>
        <w:spacing w:before="200" w:after="80" w:line="288" w:lineRule="auto"/>
        <w:jc w:val="left"/>
      </w:pPr>
      <w:r>
        <w:rPr>
          <w:rFonts w:ascii="SimHei" w:hAnsi="SimHei"/>
          <w:b/>
          <w:i w:val="0"/>
          <w:color w:val="000000"/>
          <w:sz w:val="24"/>
          <w:rFonts w:ascii="SimHei" w:hAnsi="SimHei" w:eastAsia="SimHei"/>
        </w:rPr>
        <w:t>2.2  基本模型假设</w:t>
      </w:r>
    </w:p>
    <w:p>
      <w:pPr>
        <w:spacing w:before="0" w:after="60" w:line="288" w:lineRule="auto"/>
        <w:ind w:firstLine="420"/>
        <w:jc w:val="left"/>
      </w:pPr>
      <w:r>
        <w:rPr>
          <w:rFonts w:ascii="SimSun" w:hAnsi="SimSun"/>
          <w:b w:val="0"/>
          <w:i w:val="0"/>
          <w:color w:val="000000"/>
          <w:sz w:val="21"/>
          <w:rFonts w:ascii="SimSun" w:hAnsi="SimSun" w:eastAsia="SimSun"/>
        </w:rPr>
        <w:t>考虑非齐次连续时间与离散代负二项分支过程。设定核心假设：(A1) 后代分布服从均值为 R、过度离散参数为 k 的负二项分布；(A2) 暴发初期易感宿主未显著耗竭；(A3) 估计量具备无偏性或已知方差；(A4) 估计量 hat R 在历史信息域 F_t 上可测，且条件独立于预测期未来步长内微观分支过程的新增随机后代繁殖实现（条件鞅正交性质）。</w:t>
      </w:r>
    </w:p>
    <w:p>
      <w:pPr>
        <w:spacing w:before="200" w:after="80" w:line="288" w:lineRule="auto"/>
        <w:jc w:val="left"/>
      </w:pPr>
      <w:r>
        <w:rPr>
          <w:rFonts w:ascii="SimHei" w:hAnsi="SimHei"/>
          <w:b/>
          <w:i w:val="0"/>
          <w:color w:val="000000"/>
          <w:sz w:val="24"/>
          <w:rFonts w:ascii="SimHei" w:hAnsi="SimHei" w:eastAsia="SimHei"/>
        </w:rPr>
        <w:t>2.3  交叉项正交的误差加性分解定理与可预测视界定义</w:t>
      </w:r>
    </w:p>
    <w:p>
      <w:pPr>
        <w:spacing w:before="0" w:after="60" w:line="288" w:lineRule="auto"/>
        <w:ind w:firstLine="420"/>
        <w:jc w:val="left"/>
      </w:pPr>
      <w:r>
        <w:rPr>
          <w:rFonts w:ascii="SimSun" w:hAnsi="SimSun"/>
          <w:b w:val="0"/>
          <w:i w:val="0"/>
          <w:color w:val="000000"/>
          <w:sz w:val="21"/>
          <w:rFonts w:ascii="SimSun" w:hAnsi="SimSun" w:eastAsia="SimSun"/>
        </w:rPr>
        <w:t>【定理 1（交叉项正交的误差加性分解定理）】在假设 (A1)–(A4) 下，前瞻步长 h 代的相对均方误差 relMSE^2(h) 严格分解为群体内在随机性变异系数与参数外推不确定性之和：relMSE^2(h) = CV^2(h) + P(h)。</w:t>
      </w:r>
    </w:p>
    <w:p>
      <w:pPr>
        <w:spacing w:before="0" w:after="60" w:line="288" w:lineRule="auto"/>
        <w:ind w:firstLine="420"/>
        <w:jc w:val="left"/>
      </w:pPr>
      <w:r>
        <w:rPr>
          <w:rFonts w:ascii="SimSun" w:hAnsi="SimSun"/>
          <w:b w:val="0"/>
          <w:i w:val="0"/>
          <w:color w:val="000000"/>
          <w:sz w:val="21"/>
          <w:rFonts w:ascii="SimSun" w:hAnsi="SimSun" w:eastAsia="SimSun"/>
        </w:rPr>
        <w:t>其中内生随机性变异系数为 CV^2(h) = ((1 + R/k) / (I0 * (R - 1))) * (1 - R^(-h))；第二项精确定义为非中心化二阶相对偏差矩 P_exact(h) = E[(hat R^h - R^h)^2] / R^(2h)。由 Jensen 不等式，对于 h &gt; 1，非线性幂外推存在高阶正偏差，该偏差已完全内嵌于 P_exact(h) 中；领先阶 Taylor 展开给出一阶近似 P_approx(h) = (h * delta R / R)^2，忽略的高阶微量在实证记账中被排他性吸纳于未建模结构残差 E_misspec 中。</w:t>
      </w:r>
    </w:p>
    <w:p>
      <w:pPr>
        <w:spacing w:before="0" w:after="60" w:line="288" w:lineRule="auto"/>
        <w:ind w:firstLine="420"/>
        <w:jc w:val="left"/>
      </w:pPr>
      <w:r>
        <w:rPr>
          <w:rFonts w:ascii="SimSun" w:hAnsi="SimSun"/>
          <w:b w:val="0"/>
          <w:i w:val="0"/>
          <w:color w:val="000000"/>
          <w:sz w:val="21"/>
          <w:rFonts w:ascii="SimSun" w:hAnsi="SimSun" w:eastAsia="SimSun"/>
        </w:rPr>
        <w:t>【定义 1（理论可预测视界）】在给定预设相对误差容忍度 tau 下，满足 relMSE(h*) &lt;= tau 的最大前瞻步长 h* 定义为理论可预测视界。领先阶解析闭式解为：h* = (R / delta R) * sqrt(tau^2 - (1 + R/k) / (I0 * (R - 1)))。高阶精确数值根 h*_exact 由数值积分临界方程解出。</w:t>
      </w:r>
    </w:p>
    <w:p>
      <w:pPr>
        <w:spacing w:before="200" w:after="80" w:line="288" w:lineRule="auto"/>
        <w:jc w:val="left"/>
      </w:pPr>
      <w:r>
        <w:rPr>
          <w:rFonts w:ascii="SimHei" w:hAnsi="SimHei"/>
          <w:b/>
          <w:i w:val="0"/>
          <w:color w:val="000000"/>
          <w:sz w:val="24"/>
          <w:rFonts w:ascii="SimHei" w:hAnsi="SimHei" w:eastAsia="SimHei"/>
        </w:rPr>
        <w:t>2.4  方差地板与视界压缩效应</w:t>
      </w:r>
    </w:p>
    <w:p>
      <w:pPr>
        <w:spacing w:before="0" w:after="60" w:line="288" w:lineRule="auto"/>
        <w:ind w:firstLine="420"/>
        <w:jc w:val="left"/>
      </w:pPr>
      <w:r>
        <w:rPr>
          <w:rFonts w:ascii="SimSun" w:hAnsi="SimSun"/>
          <w:b w:val="0"/>
          <w:i w:val="0"/>
          <w:color w:val="000000"/>
          <w:sz w:val="21"/>
          <w:rFonts w:ascii="SimSun" w:hAnsi="SimSun" w:eastAsia="SimSun"/>
        </w:rPr>
        <w:t>【推论 1（方差地板与视界压缩效应）】当极限方差地板 CV_inf^2 &gt;= tau^2 时，h* = 0，系统发生完全不可预测失效。在参数算例中，当 k = 0.1, I0 = 200, delta R = 0.05, tau = 0.5 时，领先阶视界精确计算为 3.87 代（3.866 代），相较于泊松基准显著压缩。</w:t>
      </w:r>
    </w:p>
    <w:p>
      <w:pPr>
        <w:spacing w:before="200" w:after="80" w:line="288" w:lineRule="auto"/>
        <w:jc w:val="left"/>
      </w:pPr>
      <w:r>
        <w:rPr>
          <w:rFonts w:ascii="SimHei" w:hAnsi="SimHei"/>
          <w:b/>
          <w:i w:val="0"/>
          <w:color w:val="000000"/>
          <w:sz w:val="24"/>
          <w:rFonts w:ascii="SimHei" w:hAnsi="SimHei" w:eastAsia="SimHei"/>
        </w:rPr>
        <w:t>2.5  有限种群近临界扩散极限定理与临界慢化</w:t>
      </w:r>
    </w:p>
    <w:p>
      <w:pPr>
        <w:spacing w:before="0" w:after="60" w:line="288" w:lineRule="auto"/>
        <w:ind w:firstLine="420"/>
        <w:jc w:val="left"/>
      </w:pPr>
      <w:r>
        <w:rPr>
          <w:rFonts w:ascii="SimSun" w:hAnsi="SimSun"/>
          <w:b w:val="0"/>
          <w:i w:val="0"/>
          <w:color w:val="000000"/>
          <w:sz w:val="21"/>
          <w:rFonts w:ascii="SimSun" w:hAnsi="SimSun" w:eastAsia="SimSun"/>
        </w:rPr>
        <w:t>【定理 3（近临界扩散极限与临界慢化发散标度）】在有限总宿主规模 N 下，当有效再生数处于近临界过渡窗口 |R - 1| &lt;= O(N^(-1/2))（即 |eps| &lt;= 0.0159）内时，宏观发病人数标准化扩散过程的拟平稳态分布由严格一维扩散方程解出。系统特征弛豫时间按 tau_rel ~ O(N^(1/2)) 发散，证实了临界慢化现象。</w:t>
      </w:r>
    </w:p>
    <w:p>
      <w:pPr>
        <w:spacing w:before="0" w:after="60" w:line="288" w:lineRule="auto"/>
        <w:ind w:firstLine="420"/>
        <w:jc w:val="left"/>
      </w:pPr>
      <w:r>
        <w:rPr>
          <w:rFonts w:ascii="SimSun" w:hAnsi="SimSun"/>
          <w:b w:val="0"/>
          <w:i w:val="0"/>
          <w:color w:val="000000"/>
          <w:sz w:val="21"/>
          <w:rFonts w:ascii="SimSun" w:hAnsi="SimSun" w:eastAsia="SimSun"/>
        </w:rPr>
        <w:t>【推论 2（建群概率负二项解析修正）】基于非零不动点推导，微观过度离散使得暴发建群概率由经典泊松 2eps 修正为 pi_est = 2eps / (1 + eps + 1/k)，在 eps &lt;= 0.2 内与母函数精确解的相对偏差不超过 13.6%（在 k=0.5, eps=0.20 处相对偏差为 -13.53%）。</w:t>
      </w:r>
    </w:p>
    <w:p>
      <w:pPr>
        <w:spacing w:before="200" w:after="80" w:line="288" w:lineRule="auto"/>
        <w:jc w:val="left"/>
      </w:pPr>
      <w:r>
        <w:rPr>
          <w:rFonts w:ascii="SimHei" w:hAnsi="SimHei"/>
          <w:b/>
          <w:i w:val="0"/>
          <w:color w:val="000000"/>
          <w:sz w:val="24"/>
          <w:rFonts w:ascii="SimHei" w:hAnsi="SimHei" w:eastAsia="SimHei"/>
        </w:rPr>
        <w:t>2.6  超临界再生数推断的信息论下界</w:t>
      </w:r>
    </w:p>
    <w:p>
      <w:pPr>
        <w:spacing w:before="0" w:after="60" w:line="288" w:lineRule="auto"/>
        <w:ind w:firstLine="420"/>
        <w:jc w:val="left"/>
      </w:pPr>
      <w:r>
        <w:rPr>
          <w:rFonts w:ascii="SimSun" w:hAnsi="SimSun"/>
          <w:b w:val="0"/>
          <w:i w:val="0"/>
          <w:color w:val="000000"/>
          <w:sz w:val="21"/>
          <w:rFonts w:ascii="SimSun" w:hAnsi="SimSun" w:eastAsia="SimSun"/>
        </w:rPr>
        <w:t>【定理 4（超临界再生数推断的 Cramér–Rao 下界）】在过度离散参数 k 下，对 R 的任何无偏估计量 hat R，其方差满足 Var(hat R) &gt;= R(R + k) / (C * k)。据此严格推导了最小可辨识独立样本量门槛：单位信噪比门槛 C &gt;= 231 例；在双侧显著性 alpha = 0.05 与功效 1 - beta = 0.80 下，判定超临界的统计功效门槛为 C &gt;= 1,428 例。</w:t>
      </w:r>
    </w:p>
    <w:p>
      <w:pPr>
        <w:spacing w:before="200" w:after="80" w:line="288" w:lineRule="auto"/>
        <w:jc w:val="left"/>
      </w:pPr>
      <w:r>
        <w:rPr>
          <w:rFonts w:ascii="SimHei" w:hAnsi="SimHei"/>
          <w:b/>
          <w:i w:val="0"/>
          <w:color w:val="000000"/>
          <w:sz w:val="24"/>
          <w:rFonts w:ascii="SimHei" w:hAnsi="SimHei" w:eastAsia="SimHei"/>
        </w:rPr>
        <w:t>2.7  时变传播率的环境随机漂移拓展</w:t>
      </w:r>
    </w:p>
    <w:p>
      <w:pPr>
        <w:spacing w:before="0" w:after="60" w:line="288" w:lineRule="auto"/>
        <w:ind w:firstLine="420"/>
        <w:jc w:val="left"/>
      </w:pPr>
      <w:r>
        <w:rPr>
          <w:rFonts w:ascii="SimSun" w:hAnsi="SimSun"/>
          <w:b w:val="0"/>
          <w:i w:val="0"/>
          <w:color w:val="000000"/>
          <w:sz w:val="21"/>
          <w:rFonts w:ascii="SimSun" w:hAnsi="SimSun" w:eastAsia="SimSun"/>
        </w:rPr>
        <w:t>【定理 5（环境随机性方差累积律）】当时变再生数对数服从均值为 0、方差为 v^2 的平稳随机环境扰动时，前瞻对数感染方差渐近满足 Var(log Z_h | Z_h &gt; 0) ~ h * (v^2 + 1/k)。在大发病基数 E[Z_t] &gt;&gt; 1 下单步方差饱和至 1/k。定理 5R 进一步给出了 AR(1) 均值回归传播率下的连续卷积显式解。</w:t>
      </w:r>
    </w:p>
    <w:p>
      <w:pPr>
        <w:spacing w:before="0" w:after="60" w:line="288" w:lineRule="auto"/>
        <w:ind w:firstLine="420"/>
        <w:jc w:val="left"/>
      </w:pPr>
      <w:r>
        <w:rPr>
          <w:rFonts w:ascii="SimSun" w:hAnsi="SimSun"/>
          <w:b w:val="0"/>
          <w:i w:val="0"/>
          <w:color w:val="000000"/>
          <w:sz w:val="21"/>
          <w:rFonts w:ascii="SimSun" w:hAnsi="SimSun" w:eastAsia="SimSun"/>
        </w:rPr>
        <w:t>【推论 3（对数尺度方差线性累加）】在无环境漂移（v^2 = 0）的静态基准下，Var(log hat I_h) ~ h/k，揭示了微观超分散群聚对预测信噪比的纯几何损耗。</w:t>
      </w:r>
    </w:p>
    <w:p>
      <w:pPr>
        <w:spacing w:before="280" w:after="120" w:line="288" w:lineRule="auto"/>
        <w:jc w:val="left"/>
      </w:pPr>
      <w:r>
        <w:rPr>
          <w:rFonts w:ascii="SimHei" w:hAnsi="SimHei"/>
          <w:b/>
          <w:i w:val="0"/>
          <w:color w:val="000000"/>
          <w:sz w:val="28"/>
          <w:rFonts w:ascii="SimHei" w:hAnsi="SimHei" w:eastAsia="SimHei"/>
        </w:rPr>
        <w:t>3  数值复核与算法基准检验</w:t>
      </w:r>
    </w:p>
    <w:p>
      <w:pPr>
        <w:spacing w:before="0" w:after="60" w:line="288" w:lineRule="auto"/>
        <w:ind w:firstLine="420"/>
        <w:jc w:val="left"/>
      </w:pPr>
      <w:r>
        <w:rPr>
          <w:rFonts w:ascii="SimSun" w:hAnsi="SimSun"/>
          <w:b w:val="0"/>
          <w:i w:val="0"/>
          <w:color w:val="000000"/>
          <w:sz w:val="21"/>
          <w:rFonts w:ascii="SimSun" w:hAnsi="SimSun" w:eastAsia="SimSun"/>
        </w:rPr>
        <w:t>采用大规模蒙特卡洛随机模拟对定理 1–5 进行独立数值复核，各参数配置设计见表 1。</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70"/>
        <w:gridCol w:w="1570"/>
        <w:gridCol w:w="1570"/>
        <w:gridCol w:w="1570"/>
        <w:gridCol w:w="1570"/>
        <w:gridCol w:w="1570"/>
      </w:tblGrid>
      <w:tr>
        <w:tc>
          <w:tcPr>
            <w:tcW w:type="dxa" w:w="1570"/>
            <w:tcBorders>
              <w:bottom w:val="single" w:sz="6" w:space="0" w:color="000000"/>
            </w:tcBorders>
          </w:tcPr>
          <w:p>
            <w:pPr>
              <w:jc w:val="center"/>
            </w:pPr>
            <w:r>
              <w:rPr>
                <w:rFonts w:ascii="SimHei" w:hAnsi="SimHei"/>
                <w:b/>
                <w:i w:val="0"/>
                <w:color w:val="000000"/>
                <w:sz w:val="17"/>
                <w:rFonts w:ascii="SimHei" w:hAnsi="SimHei" w:eastAsia="SimHei"/>
              </w:rPr>
              <w:t>验证模块</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验证目标与命题</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模拟轨迹数</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核心参数配置</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时间尺度</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符合度评估指标</w:t>
            </w:r>
          </w:p>
        </w:tc>
      </w:tr>
      <w:tr>
        <w:tc>
          <w:tcPr>
            <w:tcW w:type="dxa" w:w="1570"/>
          </w:tcPr>
          <w:p>
            <w:pPr>
              <w:jc w:val="center"/>
            </w:pPr>
            <w:r>
              <w:rPr>
                <w:rFonts w:ascii="SimSun" w:hAnsi="SimSun"/>
                <w:b w:val="0"/>
                <w:i w:val="0"/>
                <w:color w:val="000000"/>
                <w:sz w:val="16"/>
                <w:rFonts w:ascii="SimSun" w:hAnsi="SimSun" w:eastAsia="SimSun"/>
              </w:rPr>
              <w:t>定理 1 / 推论 1</w:t>
            </w:r>
          </w:p>
        </w:tc>
        <w:tc>
          <w:tcPr>
            <w:tcW w:type="dxa" w:w="1570"/>
          </w:tcPr>
          <w:p>
            <w:pPr>
              <w:jc w:val="left"/>
            </w:pPr>
            <w:r>
              <w:rPr>
                <w:rFonts w:ascii="SimSun" w:hAnsi="SimSun"/>
                <w:b w:val="0"/>
                <w:i w:val="0"/>
                <w:color w:val="000000"/>
                <w:sz w:val="16"/>
                <w:rFonts w:ascii="SimSun" w:hAnsi="SimSun" w:eastAsia="SimSun"/>
              </w:rPr>
              <w:t>误差方差加性正交分解与方差地板</w:t>
            </w:r>
          </w:p>
        </w:tc>
        <w:tc>
          <w:tcPr>
            <w:tcW w:type="dxa" w:w="1570"/>
          </w:tcPr>
          <w:p>
            <w:pPr>
              <w:jc w:val="center"/>
            </w:pPr>
            <w:r>
              <w:rPr>
                <w:rFonts w:ascii="SimSun" w:hAnsi="SimSun"/>
                <w:b w:val="0"/>
                <w:i w:val="0"/>
                <w:color w:val="000000"/>
                <w:sz w:val="16"/>
                <w:rFonts w:ascii="SimSun" w:hAnsi="SimSun" w:eastAsia="SimSun"/>
              </w:rPr>
              <w:t>20,000</w:t>
            </w:r>
          </w:p>
        </w:tc>
        <w:tc>
          <w:tcPr>
            <w:tcW w:type="dxa" w:w="1570"/>
          </w:tcPr>
          <w:p>
            <w:pPr>
              <w:jc w:val="left"/>
            </w:pPr>
            <w:r>
              <w:rPr>
                <w:rFonts w:ascii="SimSun" w:hAnsi="SimSun"/>
                <w:b w:val="0"/>
                <w:i w:val="0"/>
                <w:color w:val="000000"/>
                <w:sz w:val="16"/>
                <w:rFonts w:ascii="SimSun" w:hAnsi="SimSun" w:eastAsia="SimSun"/>
              </w:rPr>
              <w:t>(1.5, 5.0, 100, 0.10); (1.5, 0.3, 100, 0.15)</w:t>
            </w:r>
          </w:p>
        </w:tc>
        <w:tc>
          <w:tcPr>
            <w:tcW w:type="dxa" w:w="1570"/>
          </w:tcPr>
          <w:p>
            <w:pPr>
              <w:jc w:val="center"/>
            </w:pPr>
            <w:r>
              <w:rPr>
                <w:rFonts w:ascii="SimSun" w:hAnsi="SimSun"/>
                <w:b w:val="0"/>
                <w:i w:val="0"/>
                <w:color w:val="000000"/>
                <w:sz w:val="16"/>
                <w:rFonts w:ascii="SimSun" w:hAnsi="SimSun" w:eastAsia="SimSun"/>
              </w:rPr>
              <w:t>12 代</w:t>
            </w:r>
          </w:p>
        </w:tc>
        <w:tc>
          <w:tcPr>
            <w:tcW w:type="dxa" w:w="1570"/>
          </w:tcPr>
          <w:p>
            <w:pPr>
              <w:jc w:val="left"/>
            </w:pPr>
            <w:r>
              <w:rPr>
                <w:rFonts w:ascii="SimSun" w:hAnsi="SimSun"/>
                <w:b w:val="0"/>
                <w:i w:val="0"/>
                <w:color w:val="000000"/>
                <w:sz w:val="16"/>
                <w:rFonts w:ascii="SimSun" w:hAnsi="SimSun" w:eastAsia="SimSun"/>
              </w:rPr>
              <w:t>一致性比值（中位数 1.000 ± 0.003）</w:t>
            </w:r>
          </w:p>
        </w:tc>
      </w:tr>
      <w:tr>
        <w:tc>
          <w:tcPr>
            <w:tcW w:type="dxa" w:w="1570"/>
          </w:tcPr>
          <w:p>
            <w:pPr>
              <w:jc w:val="center"/>
            </w:pPr>
            <w:r>
              <w:rPr>
                <w:rFonts w:ascii="SimSun" w:hAnsi="SimSun"/>
                <w:b w:val="0"/>
                <w:i w:val="0"/>
                <w:color w:val="000000"/>
                <w:sz w:val="16"/>
                <w:rFonts w:ascii="SimSun" w:hAnsi="SimSun" w:eastAsia="SimSun"/>
              </w:rPr>
              <w:t>推论 1 稳态区</w:t>
            </w:r>
          </w:p>
        </w:tc>
        <w:tc>
          <w:tcPr>
            <w:tcW w:type="dxa" w:w="1570"/>
          </w:tcPr>
          <w:p>
            <w:pPr>
              <w:jc w:val="left"/>
            </w:pPr>
            <w:r>
              <w:rPr>
                <w:rFonts w:ascii="SimSun" w:hAnsi="SimSun"/>
                <w:b w:val="0"/>
                <w:i w:val="0"/>
                <w:color w:val="000000"/>
                <w:sz w:val="16"/>
                <w:rFonts w:ascii="SimSun" w:hAnsi="SimSun" w:eastAsia="SimSun"/>
              </w:rPr>
              <w:t>近临界与超分散方差膨胀</w:t>
            </w:r>
          </w:p>
        </w:tc>
        <w:tc>
          <w:tcPr>
            <w:tcW w:type="dxa" w:w="1570"/>
          </w:tcPr>
          <w:p>
            <w:pPr>
              <w:jc w:val="center"/>
            </w:pPr>
            <w:r>
              <w:rPr>
                <w:rFonts w:ascii="SimSun" w:hAnsi="SimSun"/>
                <w:b w:val="0"/>
                <w:i w:val="0"/>
                <w:color w:val="000000"/>
                <w:sz w:val="16"/>
                <w:rFonts w:ascii="SimSun" w:hAnsi="SimSun" w:eastAsia="SimSun"/>
              </w:rPr>
              <w:t>20,000</w:t>
            </w:r>
          </w:p>
        </w:tc>
        <w:tc>
          <w:tcPr>
            <w:tcW w:type="dxa" w:w="1570"/>
          </w:tcPr>
          <w:p>
            <w:pPr>
              <w:jc w:val="left"/>
            </w:pPr>
            <w:r>
              <w:rPr>
                <w:rFonts w:ascii="SimSun" w:hAnsi="SimSun"/>
                <w:b w:val="0"/>
                <w:i w:val="0"/>
                <w:color w:val="000000"/>
                <w:sz w:val="16"/>
                <w:rFonts w:ascii="SimSun" w:hAnsi="SimSun" w:eastAsia="SimSun"/>
              </w:rPr>
              <w:t>(1.1, 1.0, 50, 0.05); (2.0, 5.0, 30, 0.20)</w:t>
            </w:r>
          </w:p>
        </w:tc>
        <w:tc>
          <w:tcPr>
            <w:tcW w:type="dxa" w:w="1570"/>
          </w:tcPr>
          <w:p>
            <w:pPr>
              <w:jc w:val="center"/>
            </w:pPr>
            <w:r>
              <w:rPr>
                <w:rFonts w:ascii="SimSun" w:hAnsi="SimSun"/>
                <w:b w:val="0"/>
                <w:i w:val="0"/>
                <w:color w:val="000000"/>
                <w:sz w:val="16"/>
                <w:rFonts w:ascii="SimSun" w:hAnsi="SimSun" w:eastAsia="SimSun"/>
              </w:rPr>
              <w:t>10–15 代</w:t>
            </w:r>
          </w:p>
        </w:tc>
        <w:tc>
          <w:tcPr>
            <w:tcW w:type="dxa" w:w="1570"/>
          </w:tcPr>
          <w:p>
            <w:pPr>
              <w:jc w:val="left"/>
            </w:pPr>
            <w:r>
              <w:rPr>
                <w:rFonts w:ascii="SimSun" w:hAnsi="SimSun"/>
                <w:b w:val="0"/>
                <w:i w:val="0"/>
                <w:color w:val="000000"/>
                <w:sz w:val="16"/>
                <w:rFonts w:ascii="SimSun" w:hAnsi="SimSun" w:eastAsia="SimSun"/>
              </w:rPr>
              <w:t>Bootstrap 95% 置信区间 (0.995–1.001)</w:t>
            </w:r>
          </w:p>
        </w:tc>
      </w:tr>
      <w:tr>
        <w:tc>
          <w:tcPr>
            <w:tcW w:type="dxa" w:w="1570"/>
          </w:tcPr>
          <w:p>
            <w:pPr>
              <w:jc w:val="center"/>
            </w:pPr>
            <w:r>
              <w:rPr>
                <w:rFonts w:ascii="SimSun" w:hAnsi="SimSun"/>
                <w:b w:val="0"/>
                <w:i w:val="0"/>
                <w:color w:val="000000"/>
                <w:sz w:val="16"/>
                <w:rFonts w:ascii="SimSun" w:hAnsi="SimSun" w:eastAsia="SimSun"/>
              </w:rPr>
              <w:t>定理 3</w:t>
            </w:r>
          </w:p>
        </w:tc>
        <w:tc>
          <w:tcPr>
            <w:tcW w:type="dxa" w:w="1570"/>
          </w:tcPr>
          <w:p>
            <w:pPr>
              <w:jc w:val="left"/>
            </w:pPr>
            <w:r>
              <w:rPr>
                <w:rFonts w:ascii="SimSun" w:hAnsi="SimSun"/>
                <w:b w:val="0"/>
                <w:i w:val="0"/>
                <w:color w:val="000000"/>
                <w:sz w:val="16"/>
                <w:rFonts w:ascii="SimSun" w:hAnsi="SimSun" w:eastAsia="SimSun"/>
              </w:rPr>
              <w:t>拟平稳态分布与临界慢化标度</w:t>
            </w:r>
          </w:p>
        </w:tc>
        <w:tc>
          <w:tcPr>
            <w:tcW w:type="dxa" w:w="1570"/>
          </w:tcPr>
          <w:p>
            <w:pPr>
              <w:jc w:val="center"/>
            </w:pPr>
            <w:r>
              <w:rPr>
                <w:rFonts w:ascii="SimSun" w:hAnsi="SimSun"/>
                <w:b w:val="0"/>
                <w:i w:val="0"/>
                <w:color w:val="000000"/>
                <w:sz w:val="16"/>
                <w:rFonts w:ascii="SimSun" w:hAnsi="SimSun" w:eastAsia="SimSun"/>
              </w:rPr>
              <w:t>100,000 步</w:t>
            </w:r>
          </w:p>
        </w:tc>
        <w:tc>
          <w:tcPr>
            <w:tcW w:type="dxa" w:w="1570"/>
          </w:tcPr>
          <w:p>
            <w:pPr>
              <w:jc w:val="left"/>
            </w:pPr>
            <w:r>
              <w:rPr>
                <w:rFonts w:ascii="SimSun" w:hAnsi="SimSun"/>
                <w:b w:val="0"/>
                <w:i w:val="0"/>
                <w:color w:val="000000"/>
                <w:sz w:val="16"/>
                <w:rFonts w:ascii="SimSun" w:hAnsi="SimSun" w:eastAsia="SimSun"/>
              </w:rPr>
              <w:t>N = 2,000, eps in {0.005, 0.01, 0.2, 0.4}</w:t>
            </w:r>
          </w:p>
        </w:tc>
        <w:tc>
          <w:tcPr>
            <w:tcW w:type="dxa" w:w="1570"/>
          </w:tcPr>
          <w:p>
            <w:pPr>
              <w:jc w:val="center"/>
            </w:pPr>
            <w:r>
              <w:rPr>
                <w:rFonts w:ascii="SimSun" w:hAnsi="SimSun"/>
                <w:b w:val="0"/>
                <w:i w:val="0"/>
                <w:color w:val="000000"/>
                <w:sz w:val="16"/>
                <w:rFonts w:ascii="SimSun" w:hAnsi="SimSun" w:eastAsia="SimSun"/>
              </w:rPr>
              <w:t>dt = 0.05</w:t>
            </w:r>
          </w:p>
        </w:tc>
        <w:tc>
          <w:tcPr>
            <w:tcW w:type="dxa" w:w="1570"/>
          </w:tcPr>
          <w:p>
            <w:pPr>
              <w:jc w:val="left"/>
            </w:pPr>
            <w:r>
              <w:rPr>
                <w:rFonts w:ascii="SimSun" w:hAnsi="SimSun"/>
                <w:b w:val="0"/>
                <w:i w:val="0"/>
                <w:color w:val="000000"/>
                <w:sz w:val="16"/>
                <w:rFonts w:ascii="SimSun" w:hAnsi="SimSun" w:eastAsia="SimSun"/>
              </w:rPr>
              <w:t>变异系数比值（近临界 0.976/0.950；超临界 0.9995）</w:t>
            </w:r>
          </w:p>
        </w:tc>
      </w:tr>
      <w:tr>
        <w:tc>
          <w:tcPr>
            <w:tcW w:type="dxa" w:w="1570"/>
          </w:tcPr>
          <w:p>
            <w:pPr>
              <w:jc w:val="center"/>
            </w:pPr>
            <w:r>
              <w:rPr>
                <w:rFonts w:ascii="SimSun" w:hAnsi="SimSun"/>
                <w:b w:val="0"/>
                <w:i w:val="0"/>
                <w:color w:val="000000"/>
                <w:sz w:val="16"/>
                <w:rFonts w:ascii="SimSun" w:hAnsi="SimSun" w:eastAsia="SimSun"/>
              </w:rPr>
              <w:t>定理 4</w:t>
            </w:r>
          </w:p>
        </w:tc>
        <w:tc>
          <w:tcPr>
            <w:tcW w:type="dxa" w:w="1570"/>
          </w:tcPr>
          <w:p>
            <w:pPr>
              <w:jc w:val="left"/>
            </w:pPr>
            <w:r>
              <w:rPr>
                <w:rFonts w:ascii="SimSun" w:hAnsi="SimSun"/>
                <w:b w:val="0"/>
                <w:i w:val="0"/>
                <w:color w:val="000000"/>
                <w:sz w:val="16"/>
                <w:rFonts w:ascii="SimSun" w:hAnsi="SimSun" w:eastAsia="SimSun"/>
              </w:rPr>
              <w:t>Fisher 信息量与 CRB 下界</w:t>
            </w:r>
          </w:p>
        </w:tc>
        <w:tc>
          <w:tcPr>
            <w:tcW w:type="dxa" w:w="1570"/>
          </w:tcPr>
          <w:p>
            <w:pPr>
              <w:jc w:val="center"/>
            </w:pPr>
            <w:r>
              <w:rPr>
                <w:rFonts w:ascii="SimSun" w:hAnsi="SimSun"/>
                <w:b w:val="0"/>
                <w:i w:val="0"/>
                <w:color w:val="000000"/>
                <w:sz w:val="16"/>
                <w:rFonts w:ascii="SimSun" w:hAnsi="SimSun" w:eastAsia="SimSun"/>
              </w:rPr>
              <w:t>50,000</w:t>
            </w:r>
          </w:p>
        </w:tc>
        <w:tc>
          <w:tcPr>
            <w:tcW w:type="dxa" w:w="1570"/>
          </w:tcPr>
          <w:p>
            <w:pPr>
              <w:jc w:val="left"/>
            </w:pPr>
            <w:r>
              <w:rPr>
                <w:rFonts w:ascii="SimSun" w:hAnsi="SimSun"/>
                <w:b w:val="0"/>
                <w:i w:val="0"/>
                <w:color w:val="000000"/>
                <w:sz w:val="16"/>
                <w:rFonts w:ascii="SimSun" w:hAnsi="SimSun" w:eastAsia="SimSun"/>
              </w:rPr>
              <w:t>R in {1.05..1.50}, k in {0.3, 1.0}, C in {50..1428}</w:t>
            </w:r>
          </w:p>
        </w:tc>
        <w:tc>
          <w:tcPr>
            <w:tcW w:type="dxa" w:w="1570"/>
          </w:tcPr>
          <w:p>
            <w:pPr>
              <w:jc w:val="center"/>
            </w:pPr>
            <w:r>
              <w:rPr>
                <w:rFonts w:ascii="SimSun" w:hAnsi="SimSun"/>
                <w:b w:val="0"/>
                <w:i w:val="0"/>
                <w:color w:val="000000"/>
                <w:sz w:val="16"/>
                <w:rFonts w:ascii="SimSun" w:hAnsi="SimSun" w:eastAsia="SimSun"/>
              </w:rPr>
              <w:t>单代</w:t>
            </w:r>
          </w:p>
        </w:tc>
        <w:tc>
          <w:tcPr>
            <w:tcW w:type="dxa" w:w="1570"/>
          </w:tcPr>
          <w:p>
            <w:pPr>
              <w:jc w:val="left"/>
            </w:pPr>
            <w:r>
              <w:rPr>
                <w:rFonts w:ascii="SimSun" w:hAnsi="SimSun"/>
                <w:b w:val="0"/>
                <w:i w:val="0"/>
                <w:color w:val="000000"/>
                <w:sz w:val="16"/>
                <w:rFonts w:ascii="SimSun" w:hAnsi="SimSun" w:eastAsia="SimSun"/>
              </w:rPr>
              <w:t>经验方差 / CRB 比值（中位数 1.000 ± 0.002）</w:t>
            </w:r>
          </w:p>
        </w:tc>
      </w:tr>
      <w:tr>
        <w:tc>
          <w:tcPr>
            <w:tcW w:type="dxa" w:w="1570"/>
          </w:tcPr>
          <w:p>
            <w:pPr>
              <w:jc w:val="center"/>
            </w:pPr>
            <w:r>
              <w:rPr>
                <w:rFonts w:ascii="SimSun" w:hAnsi="SimSun"/>
                <w:b w:val="0"/>
                <w:i w:val="0"/>
                <w:color w:val="000000"/>
                <w:sz w:val="16"/>
                <w:rFonts w:ascii="SimSun" w:hAnsi="SimSun" w:eastAsia="SimSun"/>
              </w:rPr>
              <w:t>定理 5 / 5R</w:t>
            </w:r>
          </w:p>
        </w:tc>
        <w:tc>
          <w:tcPr>
            <w:tcW w:type="dxa" w:w="1570"/>
          </w:tcPr>
          <w:p>
            <w:pPr>
              <w:jc w:val="left"/>
            </w:pPr>
            <w:r>
              <w:rPr>
                <w:rFonts w:ascii="SimSun" w:hAnsi="SimSun"/>
                <w:b w:val="0"/>
                <w:i w:val="0"/>
                <w:color w:val="000000"/>
                <w:sz w:val="16"/>
                <w:rFonts w:ascii="SimSun" w:hAnsi="SimSun" w:eastAsia="SimSun"/>
              </w:rPr>
              <w:t>时变传播率漂移与 AR(1) 方差累加</w:t>
            </w:r>
          </w:p>
        </w:tc>
        <w:tc>
          <w:tcPr>
            <w:tcW w:type="dxa" w:w="1570"/>
          </w:tcPr>
          <w:p>
            <w:pPr>
              <w:jc w:val="center"/>
            </w:pPr>
            <w:r>
              <w:rPr>
                <w:rFonts w:ascii="SimSun" w:hAnsi="SimSun"/>
                <w:b w:val="0"/>
                <w:i w:val="0"/>
                <w:color w:val="000000"/>
                <w:sz w:val="16"/>
                <w:rFonts w:ascii="SimSun" w:hAnsi="SimSun" w:eastAsia="SimSun"/>
              </w:rPr>
              <w:t>20,000</w:t>
            </w:r>
          </w:p>
        </w:tc>
        <w:tc>
          <w:tcPr>
            <w:tcW w:type="dxa" w:w="1570"/>
          </w:tcPr>
          <w:p>
            <w:pPr>
              <w:jc w:val="left"/>
            </w:pPr>
            <w:r>
              <w:rPr>
                <w:rFonts w:ascii="SimSun" w:hAnsi="SimSun"/>
                <w:b w:val="0"/>
                <w:i w:val="0"/>
                <w:color w:val="000000"/>
                <w:sz w:val="16"/>
                <w:rFonts w:ascii="SimSun" w:hAnsi="SimSun" w:eastAsia="SimSun"/>
              </w:rPr>
              <w:t>phi in {0.0, 0.5, 0.8}, v^2 in {0.01, 0.04}</w:t>
            </w:r>
          </w:p>
        </w:tc>
        <w:tc>
          <w:tcPr>
            <w:tcW w:type="dxa" w:w="1570"/>
          </w:tcPr>
          <w:p>
            <w:pPr>
              <w:jc w:val="center"/>
            </w:pPr>
            <w:r>
              <w:rPr>
                <w:rFonts w:ascii="SimSun" w:hAnsi="SimSun"/>
                <w:b w:val="0"/>
                <w:i w:val="0"/>
                <w:color w:val="000000"/>
                <w:sz w:val="16"/>
                <w:rFonts w:ascii="SimSun" w:hAnsi="SimSun" w:eastAsia="SimSun"/>
              </w:rPr>
              <w:t>10 代</w:t>
            </w:r>
          </w:p>
        </w:tc>
        <w:tc>
          <w:tcPr>
            <w:tcW w:type="dxa" w:w="1570"/>
          </w:tcPr>
          <w:p>
            <w:pPr>
              <w:jc w:val="left"/>
            </w:pPr>
            <w:r>
              <w:rPr>
                <w:rFonts w:ascii="SimSun" w:hAnsi="SimSun"/>
                <w:b w:val="0"/>
                <w:i w:val="0"/>
                <w:color w:val="000000"/>
                <w:sz w:val="16"/>
                <w:rFonts w:ascii="SimSun" w:hAnsi="SimSun" w:eastAsia="SimSun"/>
              </w:rPr>
              <w:t>方差比值（遍历平稳区 0.98–1.03，瞬态区 0.58）</w:t>
            </w:r>
          </w:p>
        </w:tc>
      </w:tr>
    </w:tbl>
    <w:p>
      <w:pPr>
        <w:spacing w:before="80" w:after="40" w:line="288" w:lineRule="auto"/>
        <w:jc w:val="center"/>
      </w:pPr>
      <w:r>
        <w:rPr>
          <w:rFonts w:ascii="SimHei" w:hAnsi="SimHei"/>
          <w:b/>
          <w:i w:val="0"/>
          <w:color w:val="000000"/>
          <w:sz w:val="19"/>
          <w:rFonts w:ascii="SimHei" w:hAnsi="SimHei" w:eastAsia="SimHei"/>
        </w:rPr>
        <w:t>表 1  高通量蒙特卡洛模拟验证参数设计与实验配置</w:t>
      </w:r>
    </w:p>
    <w:p>
      <w:pPr>
        <w:spacing w:before="200" w:after="80" w:line="288" w:lineRule="auto"/>
        <w:jc w:val="left"/>
      </w:pPr>
      <w:r>
        <w:rPr>
          <w:rFonts w:ascii="SimHei" w:hAnsi="SimHei"/>
          <w:b/>
          <w:i w:val="0"/>
          <w:color w:val="000000"/>
          <w:sz w:val="24"/>
          <w:rFonts w:ascii="SimHei" w:hAnsi="SimHei" w:eastAsia="SimHei"/>
        </w:rPr>
        <w:t>3.1  定理数值验证与图表展示</w:t>
      </w:r>
    </w:p>
    <w:p>
      <w:pPr>
        <w:spacing w:before="0" w:after="60" w:line="288" w:lineRule="auto"/>
        <w:ind w:firstLine="420"/>
        <w:jc w:val="left"/>
      </w:pPr>
      <w:r>
        <w:rPr>
          <w:rFonts w:ascii="SimSun" w:hAnsi="SimSun"/>
          <w:b w:val="0"/>
          <w:i w:val="0"/>
          <w:color w:val="000000"/>
          <w:sz w:val="21"/>
          <w:rFonts w:ascii="SimSun" w:hAnsi="SimSun" w:eastAsia="SimSun"/>
        </w:rPr>
        <w:t>模拟结果显示：定理 1 经验变异系数与理论预测比值中位数为 1.000（标准误 0.003，范围 0.995–1.001），全分解总误差比值处于 0.99–1.03 区间。定理 3 拟平稳分布演化如图 3 所示：在超临界宏观稳态区（eps = 0.2, 0.4），经验散点与高斯极限完全重合，经验/理论比值严格达到 0.9995 与 0.9991；在临界过渡窗口内（|eps| &lt;= 0.0159），比值分别为 0.976（标准误 0.023）与 0.950（标准误 0.020），完全处于有限样本长尾存活选择性与边界效应预期的理论置信度内。定理 4 检验中，无偏 MLE 估计量经验方差与 CRB 比值紧密聚集于 1.000 附近（95% CI 0.995–1.002）。定理 5R 中，AR(1) 过程在遍历平稳后的方差累积比值为 0.98–1.03，首步 0.58 严格吻合条件方差向平稳遍历推进的瞬态马尔可夫演化。</w:t>
      </w:r>
    </w:p>
    <w:p>
      <w:pPr>
        <w:spacing w:before="200" w:after="80" w:line="288" w:lineRule="auto"/>
        <w:jc w:val="left"/>
      </w:pPr>
      <w:r>
        <w:rPr>
          <w:rFonts w:ascii="SimHei" w:hAnsi="SimHei"/>
          <w:b/>
          <w:i w:val="0"/>
          <w:color w:val="000000"/>
          <w:sz w:val="24"/>
          <w:rFonts w:ascii="SimHei" w:hAnsi="SimHei" w:eastAsia="SimHei"/>
        </w:rPr>
        <w:t>3.2  机器学习算法基准检验</w:t>
      </w:r>
    </w:p>
    <w:p>
      <w:pPr>
        <w:spacing w:before="0" w:after="60" w:line="288" w:lineRule="auto"/>
        <w:ind w:firstLine="420"/>
        <w:jc w:val="left"/>
      </w:pPr>
      <w:r>
        <w:rPr>
          <w:rFonts w:ascii="SimSun" w:hAnsi="SimSun"/>
          <w:b w:val="0"/>
          <w:i w:val="0"/>
          <w:color w:val="000000"/>
          <w:sz w:val="21"/>
          <w:rFonts w:ascii="SimSun" w:hAnsi="SimSun" w:eastAsia="SimSun"/>
        </w:rPr>
        <w:t>在完全正确设定的分支过程数据上测试统计学习算法的效率边界：</w:t>
      </w:r>
    </w:p>
    <w:p>
      <w:pPr>
        <w:spacing w:before="0" w:after="60" w:line="288" w:lineRule="auto"/>
        <w:ind w:firstLine="420"/>
        <w:jc w:val="left"/>
      </w:pPr>
      <w:r>
        <w:rPr>
          <w:rFonts w:ascii="SimSun" w:hAnsi="SimSun"/>
          <w:b w:val="0"/>
          <w:i w:val="0"/>
          <w:color w:val="000000"/>
          <w:sz w:val="21"/>
          <w:rFonts w:ascii="SimSun" w:hAnsi="SimSun" w:eastAsia="SimSun"/>
        </w:rPr>
        <w:t>多层感知机（MLP）神经估计器参数估计：在符合负二项分支似然的生成数据上训练两层 MLP 神经估计器（2x64 架构，ReLU，Adam eta=1e-3）。测试显示，浅层 MLP 神经估计器中位经验方差与 CRB 下界之比为 6.69（反映小样本浅层网络在离散分支噪声下的统计效率损耗，而非全类机器学习算法的固有上界），而经典有效极大似然估计量在统计不确定度内与 CRB 下界严格吻合（中位比值 1.000，95% CI 0.995–1.002）。这表明参数神经网络的灵活拟合能力并不能突破底层离散观测噪声施加的 Cramér–Rao 方差下界约束。</w:t>
      </w:r>
    </w:p>
    <w:p>
      <w:pPr>
        <w:spacing w:before="0" w:after="60" w:line="288" w:lineRule="auto"/>
        <w:ind w:firstLine="420"/>
        <w:jc w:val="left"/>
      </w:pPr>
      <w:r>
        <w:rPr>
          <w:rFonts w:ascii="SimSun" w:hAnsi="SimSun"/>
          <w:b w:val="0"/>
          <w:i w:val="0"/>
          <w:color w:val="000000"/>
          <w:sz w:val="21"/>
          <w:rFonts w:ascii="SimSun" w:hAnsi="SimSun" w:eastAsia="SimSun"/>
        </w:rPr>
        <w:t>LightGBM 梯度提升树多步预测：在合成疫情数据上运行 LightGBM，其前瞻预测误差运行在理论条件标准差下界之上约 1%–18%，印证了无偏预测器无法穿透群体随机性方差下界的物理规律。</w:t>
      </w:r>
    </w:p>
    <w:p>
      <w:pPr>
        <w:spacing w:before="280" w:after="120" w:line="288" w:lineRule="auto"/>
        <w:jc w:val="left"/>
      </w:pPr>
      <w:r>
        <w:rPr>
          <w:rFonts w:ascii="SimHei" w:hAnsi="SimHei"/>
          <w:b/>
          <w:i w:val="0"/>
          <w:color w:val="000000"/>
          <w:sz w:val="28"/>
          <w:rFonts w:ascii="SimHei" w:hAnsi="SimHei" w:eastAsia="SimHei"/>
        </w:rPr>
        <w:t>4  实证结果与误差分析</w:t>
      </w:r>
    </w:p>
    <w:p>
      <w:pPr>
        <w:spacing w:before="200" w:after="80" w:line="288" w:lineRule="auto"/>
        <w:jc w:val="left"/>
      </w:pPr>
      <w:r>
        <w:rPr>
          <w:rFonts w:ascii="SimHei" w:hAnsi="SimHei"/>
          <w:b/>
          <w:i w:val="0"/>
          <w:color w:val="000000"/>
          <w:sz w:val="24"/>
          <w:rFonts w:ascii="SimHei" w:hAnsi="SimHei" w:eastAsia="SimHei"/>
        </w:rPr>
        <w:t>4.1  美国三大呼吸道传染病典型阶段动力学测算</w:t>
      </w:r>
    </w:p>
    <w:p>
      <w:pPr>
        <w:spacing w:before="0" w:after="60" w:line="288" w:lineRule="auto"/>
        <w:ind w:firstLine="420"/>
        <w:jc w:val="left"/>
      </w:pPr>
      <w:r>
        <w:rPr>
          <w:rFonts w:ascii="SimSun" w:hAnsi="SimSun"/>
          <w:b w:val="0"/>
          <w:i w:val="0"/>
          <w:color w:val="000000"/>
          <w:sz w:val="21"/>
          <w:rFonts w:ascii="SimSun" w:hAnsi="SimSun" w:eastAsia="SimSun"/>
        </w:rPr>
        <w:t>将理论公式应用于美国 CDC 监测的 COVID-19（Delta、Omicron、JN.1）、季节性流感（2022–23、2024–25）及 RSV（2024–25、2025–26）七大流行阶段，测算得到动力学参数与可预测视界如表 2 所示。</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6"/>
        <w:gridCol w:w="1046"/>
        <w:gridCol w:w="1046"/>
        <w:gridCol w:w="1046"/>
        <w:gridCol w:w="1046"/>
        <w:gridCol w:w="1046"/>
        <w:gridCol w:w="1046"/>
        <w:gridCol w:w="1046"/>
        <w:gridCol w:w="1046"/>
      </w:tblGrid>
      <w:tr>
        <w:tc>
          <w:tcPr>
            <w:tcW w:type="dxa" w:w="1046"/>
            <w:tcBorders>
              <w:bottom w:val="single" w:sz="6" w:space="0" w:color="000000"/>
            </w:tcBorders>
          </w:tcPr>
          <w:p>
            <w:pPr>
              <w:jc w:val="center"/>
            </w:pPr>
            <w:r>
              <w:rPr>
                <w:rFonts w:ascii="SimHei" w:hAnsi="SimHei"/>
                <w:b/>
                <w:i w:val="0"/>
                <w:color w:val="000000"/>
                <w:sz w:val="17"/>
                <w:rFonts w:ascii="SimHei" w:hAnsi="SimHei" w:eastAsia="SimHei"/>
              </w:rPr>
              <w:t>病原体 / 流行阶段</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R</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δR</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k_agg</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I0</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μ_g (天)</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h*_approx (代/周)</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h*_exact (代/周, 95% CI)</w:t>
            </w:r>
          </w:p>
        </w:tc>
        <w:tc>
          <w:tcPr>
            <w:tcW w:type="dxa" w:w="1046"/>
            <w:tcBorders>
              <w:bottom w:val="single" w:sz="6" w:space="0" w:color="000000"/>
            </w:tcBorders>
          </w:tcPr>
          <w:p>
            <w:pPr>
              <w:jc w:val="center"/>
            </w:pPr>
            <w:r>
              <w:rPr>
                <w:rFonts w:ascii="SimHei" w:hAnsi="SimHei"/>
                <w:b/>
                <w:i w:val="0"/>
                <w:color w:val="000000"/>
                <w:sz w:val="17"/>
                <w:rFonts w:ascii="SimHei" w:hAnsi="SimHei" w:eastAsia="SimHei"/>
              </w:rPr>
              <w:t>单流行季截断</w:t>
            </w:r>
          </w:p>
        </w:tc>
      </w:tr>
      <w:tr>
        <w:tc>
          <w:tcPr>
            <w:tcW w:type="dxa" w:w="1046"/>
          </w:tcPr>
          <w:p>
            <w:pPr>
              <w:jc w:val="left"/>
            </w:pPr>
            <w:r>
              <w:rPr>
                <w:rFonts w:ascii="SimSun" w:hAnsi="SimSun"/>
                <w:b w:val="0"/>
                <w:i w:val="0"/>
                <w:color w:val="000000"/>
                <w:sz w:val="16"/>
                <w:rFonts w:ascii="SimSun" w:hAnsi="SimSun" w:eastAsia="SimSun"/>
              </w:rPr>
              <w:t>COVID-19 Delta 暴发期</w:t>
            </w:r>
          </w:p>
        </w:tc>
        <w:tc>
          <w:tcPr>
            <w:tcW w:type="dxa" w:w="1046"/>
          </w:tcPr>
          <w:p>
            <w:pPr>
              <w:jc w:val="center"/>
            </w:pPr>
            <w:r>
              <w:rPr>
                <w:rFonts w:ascii="SimSun" w:hAnsi="SimSun"/>
                <w:b w:val="0"/>
                <w:i w:val="0"/>
                <w:color w:val="000000"/>
                <w:sz w:val="16"/>
                <w:rFonts w:ascii="SimSun" w:hAnsi="SimSun" w:eastAsia="SimSun"/>
              </w:rPr>
              <w:t>1.3149</w:t>
            </w:r>
          </w:p>
        </w:tc>
        <w:tc>
          <w:tcPr>
            <w:tcW w:type="dxa" w:w="1046"/>
          </w:tcPr>
          <w:p>
            <w:pPr>
              <w:jc w:val="center"/>
            </w:pPr>
            <w:r>
              <w:rPr>
                <w:rFonts w:ascii="SimSun" w:hAnsi="SimSun"/>
                <w:b w:val="0"/>
                <w:i w:val="0"/>
                <w:color w:val="000000"/>
                <w:sz w:val="16"/>
                <w:rFonts w:ascii="SimSun" w:hAnsi="SimSun" w:eastAsia="SimSun"/>
              </w:rPr>
              <w:t>0.0285</w:t>
            </w:r>
          </w:p>
        </w:tc>
        <w:tc>
          <w:tcPr>
            <w:tcW w:type="dxa" w:w="1046"/>
          </w:tcPr>
          <w:p>
            <w:pPr>
              <w:jc w:val="center"/>
            </w:pPr>
            <w:r>
              <w:rPr>
                <w:rFonts w:ascii="SimSun" w:hAnsi="SimSun"/>
                <w:b w:val="0"/>
                <w:i w:val="0"/>
                <w:color w:val="000000"/>
                <w:sz w:val="16"/>
                <w:rFonts w:ascii="SimSun" w:hAnsi="SimSun" w:eastAsia="SimSun"/>
              </w:rPr>
              <w:t>223.2</w:t>
            </w:r>
          </w:p>
        </w:tc>
        <w:tc>
          <w:tcPr>
            <w:tcW w:type="dxa" w:w="1046"/>
          </w:tcPr>
          <w:p>
            <w:pPr>
              <w:jc w:val="center"/>
            </w:pPr>
            <w:r>
              <w:rPr>
                <w:rFonts w:ascii="SimSun" w:hAnsi="SimSun"/>
                <w:b w:val="0"/>
                <w:i w:val="0"/>
                <w:color w:val="000000"/>
                <w:sz w:val="16"/>
                <w:rFonts w:ascii="SimSun" w:hAnsi="SimSun" w:eastAsia="SimSun"/>
              </w:rPr>
              <w:t>28,347</w:t>
            </w:r>
          </w:p>
        </w:tc>
        <w:tc>
          <w:tcPr>
            <w:tcW w:type="dxa" w:w="1046"/>
          </w:tcPr>
          <w:p>
            <w:pPr>
              <w:jc w:val="center"/>
            </w:pPr>
            <w:r>
              <w:rPr>
                <w:rFonts w:ascii="SimSun" w:hAnsi="SimSun"/>
                <w:b w:val="0"/>
                <w:i w:val="0"/>
                <w:color w:val="000000"/>
                <w:sz w:val="16"/>
                <w:rFonts w:ascii="SimSun" w:hAnsi="SimSun" w:eastAsia="SimSun"/>
              </w:rPr>
              <w:t>4.7</w:t>
            </w:r>
          </w:p>
        </w:tc>
        <w:tc>
          <w:tcPr>
            <w:tcW w:type="dxa" w:w="1046"/>
          </w:tcPr>
          <w:p>
            <w:pPr>
              <w:jc w:val="center"/>
            </w:pPr>
            <w:r>
              <w:rPr>
                <w:rFonts w:ascii="SimSun" w:hAnsi="SimSun"/>
                <w:b w:val="0"/>
                <w:i w:val="0"/>
                <w:color w:val="000000"/>
                <w:sz w:val="16"/>
                <w:rFonts w:ascii="SimSun" w:hAnsi="SimSun" w:eastAsia="SimSun"/>
              </w:rPr>
              <w:t>23.1 / 15.5</w:t>
            </w:r>
          </w:p>
        </w:tc>
        <w:tc>
          <w:tcPr>
            <w:tcW w:type="dxa" w:w="1046"/>
          </w:tcPr>
          <w:p>
            <w:pPr>
              <w:jc w:val="center"/>
            </w:pPr>
            <w:r>
              <w:rPr>
                <w:rFonts w:ascii="SimSun" w:hAnsi="SimSun"/>
                <w:b w:val="0"/>
                <w:i w:val="0"/>
                <w:color w:val="000000"/>
                <w:sz w:val="16"/>
                <w:rFonts w:ascii="SimSun" w:hAnsi="SimSun" w:eastAsia="SimSun"/>
              </w:rPr>
              <w:t>20.1 / 13.5 (8.9–20.0)</w:t>
            </w:r>
          </w:p>
        </w:tc>
        <w:tc>
          <w:tcPr>
            <w:tcW w:type="dxa" w:w="1046"/>
          </w:tcPr>
          <w:p>
            <w:pPr>
              <w:jc w:val="center"/>
            </w:pPr>
            <w:r>
              <w:rPr>
                <w:rFonts w:ascii="SimSun" w:hAnsi="SimSun"/>
                <w:b w:val="0"/>
                <w:i w:val="0"/>
                <w:color w:val="000000"/>
                <w:sz w:val="16"/>
                <w:rFonts w:ascii="SimSun" w:hAnsi="SimSun" w:eastAsia="SimSun"/>
              </w:rPr>
              <w:t>—</w:t>
            </w:r>
          </w:p>
        </w:tc>
      </w:tr>
      <w:tr>
        <w:tc>
          <w:tcPr>
            <w:tcW w:type="dxa" w:w="1046"/>
          </w:tcPr>
          <w:p>
            <w:pPr>
              <w:jc w:val="left"/>
            </w:pPr>
            <w:r>
              <w:rPr>
                <w:rFonts w:ascii="SimSun" w:hAnsi="SimSun"/>
                <w:b w:val="0"/>
                <w:i w:val="0"/>
                <w:color w:val="000000"/>
                <w:sz w:val="16"/>
                <w:rFonts w:ascii="SimSun" w:hAnsi="SimSun" w:eastAsia="SimSun"/>
              </w:rPr>
              <w:t>COVID-19 Omicron 达峰期</w:t>
            </w:r>
          </w:p>
        </w:tc>
        <w:tc>
          <w:tcPr>
            <w:tcW w:type="dxa" w:w="1046"/>
          </w:tcPr>
          <w:p>
            <w:pPr>
              <w:jc w:val="center"/>
            </w:pPr>
            <w:r>
              <w:rPr>
                <w:rFonts w:ascii="SimSun" w:hAnsi="SimSun"/>
                <w:b w:val="0"/>
                <w:i w:val="0"/>
                <w:color w:val="000000"/>
                <w:sz w:val="16"/>
                <w:rFonts w:ascii="SimSun" w:hAnsi="SimSun" w:eastAsia="SimSun"/>
              </w:rPr>
              <w:t>1.1632</w:t>
            </w:r>
          </w:p>
        </w:tc>
        <w:tc>
          <w:tcPr>
            <w:tcW w:type="dxa" w:w="1046"/>
          </w:tcPr>
          <w:p>
            <w:pPr>
              <w:jc w:val="center"/>
            </w:pPr>
            <w:r>
              <w:rPr>
                <w:rFonts w:ascii="SimSun" w:hAnsi="SimSun"/>
                <w:b w:val="0"/>
                <w:i w:val="0"/>
                <w:color w:val="000000"/>
                <w:sz w:val="16"/>
                <w:rFonts w:ascii="SimSun" w:hAnsi="SimSun" w:eastAsia="SimSun"/>
              </w:rPr>
              <w:t>0.0762</w:t>
            </w:r>
          </w:p>
        </w:tc>
        <w:tc>
          <w:tcPr>
            <w:tcW w:type="dxa" w:w="1046"/>
          </w:tcPr>
          <w:p>
            <w:pPr>
              <w:jc w:val="center"/>
            </w:pPr>
            <w:r>
              <w:rPr>
                <w:rFonts w:ascii="SimSun" w:hAnsi="SimSun"/>
                <w:b w:val="0"/>
                <w:i w:val="0"/>
                <w:color w:val="000000"/>
                <w:sz w:val="16"/>
                <w:rFonts w:ascii="SimSun" w:hAnsi="SimSun" w:eastAsia="SimSun"/>
              </w:rPr>
              <w:t>27.4</w:t>
            </w:r>
          </w:p>
        </w:tc>
        <w:tc>
          <w:tcPr>
            <w:tcW w:type="dxa" w:w="1046"/>
          </w:tcPr>
          <w:p>
            <w:pPr>
              <w:jc w:val="center"/>
            </w:pPr>
            <w:r>
              <w:rPr>
                <w:rFonts w:ascii="SimSun" w:hAnsi="SimSun"/>
                <w:b w:val="0"/>
                <w:i w:val="0"/>
                <w:color w:val="000000"/>
                <w:sz w:val="16"/>
                <w:rFonts w:ascii="SimSun" w:hAnsi="SimSun" w:eastAsia="SimSun"/>
              </w:rPr>
              <w:t>66,275</w:t>
            </w:r>
          </w:p>
        </w:tc>
        <w:tc>
          <w:tcPr>
            <w:tcW w:type="dxa" w:w="1046"/>
          </w:tcPr>
          <w:p>
            <w:pPr>
              <w:jc w:val="center"/>
            </w:pPr>
            <w:r>
              <w:rPr>
                <w:rFonts w:ascii="SimSun" w:hAnsi="SimSun"/>
                <w:b w:val="0"/>
                <w:i w:val="0"/>
                <w:color w:val="000000"/>
                <w:sz w:val="16"/>
                <w:rFonts w:ascii="SimSun" w:hAnsi="SimSun" w:eastAsia="SimSun"/>
              </w:rPr>
              <w:t>3.0</w:t>
            </w:r>
          </w:p>
        </w:tc>
        <w:tc>
          <w:tcPr>
            <w:tcW w:type="dxa" w:w="1046"/>
          </w:tcPr>
          <w:p>
            <w:pPr>
              <w:jc w:val="center"/>
            </w:pPr>
            <w:r>
              <w:rPr>
                <w:rFonts w:ascii="SimSun" w:hAnsi="SimSun"/>
                <w:b w:val="0"/>
                <w:i w:val="0"/>
                <w:color w:val="000000"/>
                <w:sz w:val="16"/>
                <w:rFonts w:ascii="SimSun" w:hAnsi="SimSun" w:eastAsia="SimSun"/>
              </w:rPr>
              <w:t>7.6 / 3.3</w:t>
            </w:r>
          </w:p>
        </w:tc>
        <w:tc>
          <w:tcPr>
            <w:tcW w:type="dxa" w:w="1046"/>
          </w:tcPr>
          <w:p>
            <w:pPr>
              <w:jc w:val="center"/>
            </w:pPr>
            <w:r>
              <w:rPr>
                <w:rFonts w:ascii="SimSun" w:hAnsi="SimSun"/>
                <w:b w:val="0"/>
                <w:i w:val="0"/>
                <w:color w:val="000000"/>
                <w:sz w:val="16"/>
                <w:rFonts w:ascii="SimSun" w:hAnsi="SimSun" w:eastAsia="SimSun"/>
              </w:rPr>
              <w:t>6.8 / 2.9 (1.8–6.0)</w:t>
            </w:r>
          </w:p>
        </w:tc>
        <w:tc>
          <w:tcPr>
            <w:tcW w:type="dxa" w:w="1046"/>
          </w:tcPr>
          <w:p>
            <w:pPr>
              <w:jc w:val="center"/>
            </w:pPr>
            <w:r>
              <w:rPr>
                <w:rFonts w:ascii="SimSun" w:hAnsi="SimSun"/>
                <w:b w:val="0"/>
                <w:i w:val="0"/>
                <w:color w:val="000000"/>
                <w:sz w:val="16"/>
                <w:rFonts w:ascii="SimSun" w:hAnsi="SimSun" w:eastAsia="SimSun"/>
              </w:rPr>
              <w:t>—</w:t>
            </w:r>
          </w:p>
        </w:tc>
      </w:tr>
      <w:tr>
        <w:tc>
          <w:tcPr>
            <w:tcW w:type="dxa" w:w="1046"/>
          </w:tcPr>
          <w:p>
            <w:pPr>
              <w:jc w:val="left"/>
            </w:pPr>
            <w:r>
              <w:rPr>
                <w:rFonts w:ascii="SimSun" w:hAnsi="SimSun"/>
                <w:b w:val="0"/>
                <w:i w:val="0"/>
                <w:color w:val="000000"/>
                <w:sz w:val="16"/>
                <w:rFonts w:ascii="SimSun" w:hAnsi="SimSun" w:eastAsia="SimSun"/>
              </w:rPr>
              <w:t>COVID-19 JN.1 流行期</w:t>
            </w:r>
          </w:p>
        </w:tc>
        <w:tc>
          <w:tcPr>
            <w:tcW w:type="dxa" w:w="1046"/>
          </w:tcPr>
          <w:p>
            <w:pPr>
              <w:jc w:val="center"/>
            </w:pPr>
            <w:r>
              <w:rPr>
                <w:rFonts w:ascii="SimSun" w:hAnsi="SimSun"/>
                <w:b w:val="0"/>
                <w:i w:val="0"/>
                <w:color w:val="000000"/>
                <w:sz w:val="16"/>
                <w:rFonts w:ascii="SimSun" w:hAnsi="SimSun" w:eastAsia="SimSun"/>
              </w:rPr>
              <w:t>1.0520</w:t>
            </w:r>
          </w:p>
        </w:tc>
        <w:tc>
          <w:tcPr>
            <w:tcW w:type="dxa" w:w="1046"/>
          </w:tcPr>
          <w:p>
            <w:pPr>
              <w:jc w:val="center"/>
            </w:pPr>
            <w:r>
              <w:rPr>
                <w:rFonts w:ascii="SimSun" w:hAnsi="SimSun"/>
                <w:b w:val="0"/>
                <w:i w:val="0"/>
                <w:color w:val="000000"/>
                <w:sz w:val="16"/>
                <w:rFonts w:ascii="SimSun" w:hAnsi="SimSun" w:eastAsia="SimSun"/>
              </w:rPr>
              <w:t>0.0557</w:t>
            </w:r>
          </w:p>
        </w:tc>
        <w:tc>
          <w:tcPr>
            <w:tcW w:type="dxa" w:w="1046"/>
          </w:tcPr>
          <w:p>
            <w:pPr>
              <w:jc w:val="center"/>
            </w:pPr>
            <w:r>
              <w:rPr>
                <w:rFonts w:ascii="SimSun" w:hAnsi="SimSun"/>
                <w:b w:val="0"/>
                <w:i w:val="0"/>
                <w:color w:val="000000"/>
                <w:sz w:val="16"/>
                <w:rFonts w:ascii="SimSun" w:hAnsi="SimSun" w:eastAsia="SimSun"/>
              </w:rPr>
              <w:t>60.5</w:t>
            </w:r>
          </w:p>
        </w:tc>
        <w:tc>
          <w:tcPr>
            <w:tcW w:type="dxa" w:w="1046"/>
          </w:tcPr>
          <w:p>
            <w:pPr>
              <w:jc w:val="center"/>
            </w:pPr>
            <w:r>
              <w:rPr>
                <w:rFonts w:ascii="SimSun" w:hAnsi="SimSun"/>
                <w:b w:val="0"/>
                <w:i w:val="0"/>
                <w:color w:val="000000"/>
                <w:sz w:val="16"/>
                <w:rFonts w:ascii="SimSun" w:hAnsi="SimSun" w:eastAsia="SimSun"/>
              </w:rPr>
              <w:t>31,453</w:t>
            </w:r>
          </w:p>
        </w:tc>
        <w:tc>
          <w:tcPr>
            <w:tcW w:type="dxa" w:w="1046"/>
          </w:tcPr>
          <w:p>
            <w:pPr>
              <w:jc w:val="center"/>
            </w:pPr>
            <w:r>
              <w:rPr>
                <w:rFonts w:ascii="SimSun" w:hAnsi="SimSun"/>
                <w:b w:val="0"/>
                <w:i w:val="0"/>
                <w:color w:val="000000"/>
                <w:sz w:val="16"/>
                <w:rFonts w:ascii="SimSun" w:hAnsi="SimSun" w:eastAsia="SimSun"/>
              </w:rPr>
              <w:t>3.5</w:t>
            </w:r>
          </w:p>
        </w:tc>
        <w:tc>
          <w:tcPr>
            <w:tcW w:type="dxa" w:w="1046"/>
          </w:tcPr>
          <w:p>
            <w:pPr>
              <w:jc w:val="center"/>
            </w:pPr>
            <w:r>
              <w:rPr>
                <w:rFonts w:ascii="SimSun" w:hAnsi="SimSun"/>
                <w:b w:val="0"/>
                <w:i w:val="0"/>
                <w:color w:val="000000"/>
                <w:sz w:val="16"/>
                <w:rFonts w:ascii="SimSun" w:hAnsi="SimSun" w:eastAsia="SimSun"/>
              </w:rPr>
              <w:t>9.4 / 4.7</w:t>
            </w:r>
          </w:p>
        </w:tc>
        <w:tc>
          <w:tcPr>
            <w:tcW w:type="dxa" w:w="1046"/>
          </w:tcPr>
          <w:p>
            <w:pPr>
              <w:jc w:val="center"/>
            </w:pPr>
            <w:r>
              <w:rPr>
                <w:rFonts w:ascii="SimSun" w:hAnsi="SimSun"/>
                <w:b w:val="0"/>
                <w:i w:val="0"/>
                <w:color w:val="000000"/>
                <w:sz w:val="16"/>
                <w:rFonts w:ascii="SimSun" w:hAnsi="SimSun" w:eastAsia="SimSun"/>
              </w:rPr>
              <w:t>8.4 / 4.2 (2.6–8.5)</w:t>
            </w:r>
          </w:p>
        </w:tc>
        <w:tc>
          <w:tcPr>
            <w:tcW w:type="dxa" w:w="1046"/>
          </w:tcPr>
          <w:p>
            <w:pPr>
              <w:jc w:val="center"/>
            </w:pPr>
            <w:r>
              <w:rPr>
                <w:rFonts w:ascii="SimSun" w:hAnsi="SimSun"/>
                <w:b w:val="0"/>
                <w:i w:val="0"/>
                <w:color w:val="000000"/>
                <w:sz w:val="16"/>
                <w:rFonts w:ascii="SimSun" w:hAnsi="SimSun" w:eastAsia="SimSun"/>
              </w:rPr>
              <w:t>—</w:t>
            </w:r>
          </w:p>
        </w:tc>
      </w:tr>
      <w:tr>
        <w:tc>
          <w:tcPr>
            <w:tcW w:type="dxa" w:w="1046"/>
          </w:tcPr>
          <w:p>
            <w:pPr>
              <w:jc w:val="left"/>
            </w:pPr>
            <w:r>
              <w:rPr>
                <w:rFonts w:ascii="SimSun" w:hAnsi="SimSun"/>
                <w:b w:val="0"/>
                <w:i w:val="0"/>
                <w:color w:val="000000"/>
                <w:sz w:val="16"/>
                <w:rFonts w:ascii="SimSun" w:hAnsi="SimSun" w:eastAsia="SimSun"/>
              </w:rPr>
              <w:t>RSV 2024–25 流行季</w:t>
            </w:r>
          </w:p>
        </w:tc>
        <w:tc>
          <w:tcPr>
            <w:tcW w:type="dxa" w:w="1046"/>
          </w:tcPr>
          <w:p>
            <w:pPr>
              <w:jc w:val="center"/>
            </w:pPr>
            <w:r>
              <w:rPr>
                <w:rFonts w:ascii="SimSun" w:hAnsi="SimSun"/>
                <w:b w:val="0"/>
                <w:i w:val="0"/>
                <w:color w:val="000000"/>
                <w:sz w:val="16"/>
                <w:rFonts w:ascii="SimSun" w:hAnsi="SimSun" w:eastAsia="SimSun"/>
              </w:rPr>
              <w:t>1.2404</w:t>
            </w:r>
          </w:p>
        </w:tc>
        <w:tc>
          <w:tcPr>
            <w:tcW w:type="dxa" w:w="1046"/>
          </w:tcPr>
          <w:p>
            <w:pPr>
              <w:jc w:val="center"/>
            </w:pPr>
            <w:r>
              <w:rPr>
                <w:rFonts w:ascii="SimSun" w:hAnsi="SimSun"/>
                <w:b w:val="0"/>
                <w:i w:val="0"/>
                <w:color w:val="000000"/>
                <w:sz w:val="16"/>
                <w:rFonts w:ascii="SimSun" w:hAnsi="SimSun" w:eastAsia="SimSun"/>
              </w:rPr>
              <w:t>0.0146</w:t>
            </w:r>
          </w:p>
        </w:tc>
        <w:tc>
          <w:tcPr>
            <w:tcW w:type="dxa" w:w="1046"/>
          </w:tcPr>
          <w:p>
            <w:pPr>
              <w:jc w:val="center"/>
            </w:pPr>
            <w:r>
              <w:rPr>
                <w:rFonts w:ascii="SimSun" w:hAnsi="SimSun"/>
                <w:b w:val="0"/>
                <w:i w:val="0"/>
                <w:color w:val="000000"/>
                <w:sz w:val="16"/>
                <w:rFonts w:ascii="SimSun" w:hAnsi="SimSun" w:eastAsia="SimSun"/>
              </w:rPr>
              <w:t>1000.0</w:t>
            </w:r>
          </w:p>
        </w:tc>
        <w:tc>
          <w:tcPr>
            <w:tcW w:type="dxa" w:w="1046"/>
          </w:tcPr>
          <w:p>
            <w:pPr>
              <w:jc w:val="center"/>
            </w:pPr>
            <w:r>
              <w:rPr>
                <w:rFonts w:ascii="SimSun" w:hAnsi="SimSun"/>
                <w:b w:val="0"/>
                <w:i w:val="0"/>
                <w:color w:val="000000"/>
                <w:sz w:val="16"/>
                <w:rFonts w:ascii="SimSun" w:hAnsi="SimSun" w:eastAsia="SimSun"/>
              </w:rPr>
              <w:t>4,409</w:t>
            </w:r>
          </w:p>
        </w:tc>
        <w:tc>
          <w:tcPr>
            <w:tcW w:type="dxa" w:w="1046"/>
          </w:tcPr>
          <w:p>
            <w:pPr>
              <w:jc w:val="center"/>
            </w:pPr>
            <w:r>
              <w:rPr>
                <w:rFonts w:ascii="SimSun" w:hAnsi="SimSun"/>
                <w:b w:val="0"/>
                <w:i w:val="0"/>
                <w:color w:val="000000"/>
                <w:sz w:val="16"/>
                <w:rFonts w:ascii="SimSun" w:hAnsi="SimSun" w:eastAsia="SimSun"/>
              </w:rPr>
              <w:t>8.4</w:t>
            </w:r>
          </w:p>
        </w:tc>
        <w:tc>
          <w:tcPr>
            <w:tcW w:type="dxa" w:w="1046"/>
          </w:tcPr>
          <w:p>
            <w:pPr>
              <w:jc w:val="center"/>
            </w:pPr>
            <w:r>
              <w:rPr>
                <w:rFonts w:ascii="SimSun" w:hAnsi="SimSun"/>
                <w:b w:val="0"/>
                <w:i w:val="0"/>
                <w:color w:val="000000"/>
                <w:sz w:val="16"/>
                <w:rFonts w:ascii="SimSun" w:hAnsi="SimSun" w:eastAsia="SimSun"/>
              </w:rPr>
              <w:t>42.4 / 50.9</w:t>
            </w:r>
          </w:p>
        </w:tc>
        <w:tc>
          <w:tcPr>
            <w:tcW w:type="dxa" w:w="1046"/>
          </w:tcPr>
          <w:p>
            <w:pPr>
              <w:jc w:val="center"/>
            </w:pPr>
            <w:r>
              <w:rPr>
                <w:rFonts w:ascii="SimSun" w:hAnsi="SimSun"/>
                <w:b w:val="0"/>
                <w:i w:val="0"/>
                <w:color w:val="000000"/>
                <w:sz w:val="16"/>
                <w:rFonts w:ascii="SimSun" w:hAnsi="SimSun" w:eastAsia="SimSun"/>
              </w:rPr>
              <w:t>36.6 / 43.9 (27.9–65.0)</w:t>
            </w:r>
          </w:p>
        </w:tc>
        <w:tc>
          <w:tcPr>
            <w:tcW w:type="dxa" w:w="1046"/>
          </w:tcPr>
          <w:p>
            <w:pPr>
              <w:jc w:val="center"/>
            </w:pPr>
            <w:r>
              <w:rPr>
                <w:rFonts w:ascii="SimSun" w:hAnsi="SimSun"/>
                <w:b w:val="0"/>
                <w:i w:val="0"/>
                <w:color w:val="000000"/>
                <w:sz w:val="16"/>
                <w:rFonts w:ascii="SimSun" w:hAnsi="SimSun" w:eastAsia="SimSun"/>
              </w:rPr>
              <w:t>16–20 周截断</w:t>
            </w:r>
          </w:p>
        </w:tc>
      </w:tr>
      <w:tr>
        <w:tc>
          <w:tcPr>
            <w:tcW w:type="dxa" w:w="1046"/>
          </w:tcPr>
          <w:p>
            <w:pPr>
              <w:jc w:val="left"/>
            </w:pPr>
            <w:r>
              <w:rPr>
                <w:rFonts w:ascii="SimSun" w:hAnsi="SimSun"/>
                <w:b w:val="0"/>
                <w:i w:val="0"/>
                <w:color w:val="000000"/>
                <w:sz w:val="16"/>
                <w:rFonts w:ascii="SimSun" w:hAnsi="SimSun" w:eastAsia="SimSun"/>
              </w:rPr>
              <w:t>RSV 2025–26 流行季</w:t>
            </w:r>
          </w:p>
        </w:tc>
        <w:tc>
          <w:tcPr>
            <w:tcW w:type="dxa" w:w="1046"/>
          </w:tcPr>
          <w:p>
            <w:pPr>
              <w:jc w:val="center"/>
            </w:pPr>
            <w:r>
              <w:rPr>
                <w:rFonts w:ascii="SimSun" w:hAnsi="SimSun"/>
                <w:b w:val="0"/>
                <w:i w:val="0"/>
                <w:color w:val="000000"/>
                <w:sz w:val="16"/>
                <w:rFonts w:ascii="SimSun" w:hAnsi="SimSun" w:eastAsia="SimSun"/>
              </w:rPr>
              <w:t>1.2130</w:t>
            </w:r>
          </w:p>
        </w:tc>
        <w:tc>
          <w:tcPr>
            <w:tcW w:type="dxa" w:w="1046"/>
          </w:tcPr>
          <w:p>
            <w:pPr>
              <w:jc w:val="center"/>
            </w:pPr>
            <w:r>
              <w:rPr>
                <w:rFonts w:ascii="SimSun" w:hAnsi="SimSun"/>
                <w:b w:val="0"/>
                <w:i w:val="0"/>
                <w:color w:val="000000"/>
                <w:sz w:val="16"/>
                <w:rFonts w:ascii="SimSun" w:hAnsi="SimSun" w:eastAsia="SimSun"/>
              </w:rPr>
              <w:t>0.0089</w:t>
            </w:r>
          </w:p>
        </w:tc>
        <w:tc>
          <w:tcPr>
            <w:tcW w:type="dxa" w:w="1046"/>
          </w:tcPr>
          <w:p>
            <w:pPr>
              <w:jc w:val="center"/>
            </w:pPr>
            <w:r>
              <w:rPr>
                <w:rFonts w:ascii="SimSun" w:hAnsi="SimSun"/>
                <w:b w:val="0"/>
                <w:i w:val="0"/>
                <w:color w:val="000000"/>
                <w:sz w:val="16"/>
                <w:rFonts w:ascii="SimSun" w:hAnsi="SimSun" w:eastAsia="SimSun"/>
              </w:rPr>
              <w:t>1000.0</w:t>
            </w:r>
          </w:p>
        </w:tc>
        <w:tc>
          <w:tcPr>
            <w:tcW w:type="dxa" w:w="1046"/>
          </w:tcPr>
          <w:p>
            <w:pPr>
              <w:jc w:val="center"/>
            </w:pPr>
            <w:r>
              <w:rPr>
                <w:rFonts w:ascii="SimSun" w:hAnsi="SimSun"/>
                <w:b w:val="0"/>
                <w:i w:val="0"/>
                <w:color w:val="000000"/>
                <w:sz w:val="16"/>
                <w:rFonts w:ascii="SimSun" w:hAnsi="SimSun" w:eastAsia="SimSun"/>
              </w:rPr>
              <w:t>1,868</w:t>
            </w:r>
          </w:p>
        </w:tc>
        <w:tc>
          <w:tcPr>
            <w:tcW w:type="dxa" w:w="1046"/>
          </w:tcPr>
          <w:p>
            <w:pPr>
              <w:jc w:val="center"/>
            </w:pPr>
            <w:r>
              <w:rPr>
                <w:rFonts w:ascii="SimSun" w:hAnsi="SimSun"/>
                <w:b w:val="0"/>
                <w:i w:val="0"/>
                <w:color w:val="000000"/>
                <w:sz w:val="16"/>
                <w:rFonts w:ascii="SimSun" w:hAnsi="SimSun" w:eastAsia="SimSun"/>
              </w:rPr>
              <w:t>8.4</w:t>
            </w:r>
          </w:p>
        </w:tc>
        <w:tc>
          <w:tcPr>
            <w:tcW w:type="dxa" w:w="1046"/>
          </w:tcPr>
          <w:p>
            <w:pPr>
              <w:jc w:val="center"/>
            </w:pPr>
            <w:r>
              <w:rPr>
                <w:rFonts w:ascii="SimSun" w:hAnsi="SimSun"/>
                <w:b w:val="0"/>
                <w:i w:val="0"/>
                <w:color w:val="000000"/>
                <w:sz w:val="16"/>
                <w:rFonts w:ascii="SimSun" w:hAnsi="SimSun" w:eastAsia="SimSun"/>
              </w:rPr>
              <w:t>67.8 / 81.4</w:t>
            </w:r>
          </w:p>
        </w:tc>
        <w:tc>
          <w:tcPr>
            <w:tcW w:type="dxa" w:w="1046"/>
          </w:tcPr>
          <w:p>
            <w:pPr>
              <w:jc w:val="center"/>
            </w:pPr>
            <w:r>
              <w:rPr>
                <w:rFonts w:ascii="SimSun" w:hAnsi="SimSun"/>
                <w:b w:val="0"/>
                <w:i w:val="0"/>
                <w:color w:val="000000"/>
                <w:sz w:val="16"/>
                <w:rFonts w:ascii="SimSun" w:hAnsi="SimSun" w:eastAsia="SimSun"/>
              </w:rPr>
              <w:t>58.4 / 70.1 (46.2–95.0)</w:t>
            </w:r>
          </w:p>
        </w:tc>
        <w:tc>
          <w:tcPr>
            <w:tcW w:type="dxa" w:w="1046"/>
          </w:tcPr>
          <w:p>
            <w:pPr>
              <w:jc w:val="center"/>
            </w:pPr>
            <w:r>
              <w:rPr>
                <w:rFonts w:ascii="SimSun" w:hAnsi="SimSun"/>
                <w:b w:val="0"/>
                <w:i w:val="0"/>
                <w:color w:val="000000"/>
                <w:sz w:val="16"/>
                <w:rFonts w:ascii="SimSun" w:hAnsi="SimSun" w:eastAsia="SimSun"/>
              </w:rPr>
              <w:t>16–20 周截断</w:t>
            </w:r>
          </w:p>
        </w:tc>
      </w:tr>
      <w:tr>
        <w:tc>
          <w:tcPr>
            <w:tcW w:type="dxa" w:w="1046"/>
          </w:tcPr>
          <w:p>
            <w:pPr>
              <w:jc w:val="left"/>
            </w:pPr>
            <w:r>
              <w:rPr>
                <w:rFonts w:ascii="SimSun" w:hAnsi="SimSun"/>
                <w:b w:val="0"/>
                <w:i w:val="0"/>
                <w:color w:val="000000"/>
                <w:sz w:val="16"/>
                <w:rFonts w:ascii="SimSun" w:hAnsi="SimSun" w:eastAsia="SimSun"/>
              </w:rPr>
              <w:t>流感 2022–23 暴发早期</w:t>
            </w:r>
          </w:p>
        </w:tc>
        <w:tc>
          <w:tcPr>
            <w:tcW w:type="dxa" w:w="1046"/>
          </w:tcPr>
          <w:p>
            <w:pPr>
              <w:jc w:val="center"/>
            </w:pPr>
            <w:r>
              <w:rPr>
                <w:rFonts w:ascii="SimSun" w:hAnsi="SimSun"/>
                <w:b w:val="0"/>
                <w:i w:val="0"/>
                <w:color w:val="000000"/>
                <w:sz w:val="16"/>
                <w:rFonts w:ascii="SimSun" w:hAnsi="SimSun" w:eastAsia="SimSun"/>
              </w:rPr>
              <w:t>1.4138</w:t>
            </w:r>
          </w:p>
        </w:tc>
        <w:tc>
          <w:tcPr>
            <w:tcW w:type="dxa" w:w="1046"/>
          </w:tcPr>
          <w:p>
            <w:pPr>
              <w:jc w:val="center"/>
            </w:pPr>
            <w:r>
              <w:rPr>
                <w:rFonts w:ascii="SimSun" w:hAnsi="SimSun"/>
                <w:b w:val="0"/>
                <w:i w:val="0"/>
                <w:color w:val="000000"/>
                <w:sz w:val="16"/>
                <w:rFonts w:ascii="SimSun" w:hAnsi="SimSun" w:eastAsia="SimSun"/>
              </w:rPr>
              <w:t>0.0557</w:t>
            </w:r>
          </w:p>
        </w:tc>
        <w:tc>
          <w:tcPr>
            <w:tcW w:type="dxa" w:w="1046"/>
          </w:tcPr>
          <w:p>
            <w:pPr>
              <w:jc w:val="center"/>
            </w:pPr>
            <w:r>
              <w:rPr>
                <w:rFonts w:ascii="SimSun" w:hAnsi="SimSun"/>
                <w:b w:val="0"/>
                <w:i w:val="0"/>
                <w:color w:val="000000"/>
                <w:sz w:val="16"/>
                <w:rFonts w:ascii="SimSun" w:hAnsi="SimSun" w:eastAsia="SimSun"/>
              </w:rPr>
              <w:t>50.2</w:t>
            </w:r>
          </w:p>
        </w:tc>
        <w:tc>
          <w:tcPr>
            <w:tcW w:type="dxa" w:w="1046"/>
          </w:tcPr>
          <w:p>
            <w:pPr>
              <w:jc w:val="center"/>
            </w:pPr>
            <w:r>
              <w:rPr>
                <w:rFonts w:ascii="SimSun" w:hAnsi="SimSun"/>
                <w:b w:val="0"/>
                <w:i w:val="0"/>
                <w:color w:val="000000"/>
                <w:sz w:val="16"/>
                <w:rFonts w:ascii="SimSun" w:hAnsi="SimSun" w:eastAsia="SimSun"/>
              </w:rPr>
              <w:t>3,116</w:t>
            </w:r>
          </w:p>
        </w:tc>
        <w:tc>
          <w:tcPr>
            <w:tcW w:type="dxa" w:w="1046"/>
          </w:tcPr>
          <w:p>
            <w:pPr>
              <w:jc w:val="center"/>
            </w:pPr>
            <w:r>
              <w:rPr>
                <w:rFonts w:ascii="SimSun" w:hAnsi="SimSun"/>
                <w:b w:val="0"/>
                <w:i w:val="0"/>
                <w:color w:val="000000"/>
                <w:sz w:val="16"/>
                <w:rFonts w:ascii="SimSun" w:hAnsi="SimSun" w:eastAsia="SimSun"/>
              </w:rPr>
              <w:t>3.2</w:t>
            </w:r>
          </w:p>
        </w:tc>
        <w:tc>
          <w:tcPr>
            <w:tcW w:type="dxa" w:w="1046"/>
          </w:tcPr>
          <w:p>
            <w:pPr>
              <w:jc w:val="center"/>
            </w:pPr>
            <w:r>
              <w:rPr>
                <w:rFonts w:ascii="SimSun" w:hAnsi="SimSun"/>
                <w:b w:val="0"/>
                <w:i w:val="0"/>
                <w:color w:val="000000"/>
                <w:sz w:val="16"/>
                <w:rFonts w:ascii="SimSun" w:hAnsi="SimSun" w:eastAsia="SimSun"/>
              </w:rPr>
              <w:t>12.7 / 5.8</w:t>
            </w:r>
          </w:p>
        </w:tc>
        <w:tc>
          <w:tcPr>
            <w:tcW w:type="dxa" w:w="1046"/>
          </w:tcPr>
          <w:p>
            <w:pPr>
              <w:jc w:val="center"/>
            </w:pPr>
            <w:r>
              <w:rPr>
                <w:rFonts w:ascii="SimSun" w:hAnsi="SimSun"/>
                <w:b w:val="0"/>
                <w:i w:val="0"/>
                <w:color w:val="000000"/>
                <w:sz w:val="16"/>
                <w:rFonts w:ascii="SimSun" w:hAnsi="SimSun" w:eastAsia="SimSun"/>
              </w:rPr>
              <w:t>11.2 / 5.1 (3.3–10.2)</w:t>
            </w:r>
          </w:p>
        </w:tc>
        <w:tc>
          <w:tcPr>
            <w:tcW w:type="dxa" w:w="1046"/>
          </w:tcPr>
          <w:p>
            <w:pPr>
              <w:jc w:val="center"/>
            </w:pPr>
            <w:r>
              <w:rPr>
                <w:rFonts w:ascii="SimSun" w:hAnsi="SimSun"/>
                <w:b w:val="0"/>
                <w:i w:val="0"/>
                <w:color w:val="000000"/>
                <w:sz w:val="16"/>
                <w:rFonts w:ascii="SimSun" w:hAnsi="SimSun" w:eastAsia="SimSun"/>
              </w:rPr>
              <w:t>—</w:t>
            </w:r>
          </w:p>
        </w:tc>
      </w:tr>
      <w:tr>
        <w:tc>
          <w:tcPr>
            <w:tcW w:type="dxa" w:w="1046"/>
          </w:tcPr>
          <w:p>
            <w:pPr>
              <w:jc w:val="left"/>
            </w:pPr>
            <w:r>
              <w:rPr>
                <w:rFonts w:ascii="SimSun" w:hAnsi="SimSun"/>
                <w:b w:val="0"/>
                <w:i w:val="0"/>
                <w:color w:val="000000"/>
                <w:sz w:val="16"/>
                <w:rFonts w:ascii="SimSun" w:hAnsi="SimSun" w:eastAsia="SimSun"/>
              </w:rPr>
              <w:t>流感 2024–25 流行季</w:t>
            </w:r>
          </w:p>
        </w:tc>
        <w:tc>
          <w:tcPr>
            <w:tcW w:type="dxa" w:w="1046"/>
          </w:tcPr>
          <w:p>
            <w:pPr>
              <w:jc w:val="center"/>
            </w:pPr>
            <w:r>
              <w:rPr>
                <w:rFonts w:ascii="SimSun" w:hAnsi="SimSun"/>
                <w:b w:val="0"/>
                <w:i w:val="0"/>
                <w:color w:val="000000"/>
                <w:sz w:val="16"/>
                <w:rFonts w:ascii="SimSun" w:hAnsi="SimSun" w:eastAsia="SimSun"/>
              </w:rPr>
              <w:t>1.4012</w:t>
            </w:r>
          </w:p>
        </w:tc>
        <w:tc>
          <w:tcPr>
            <w:tcW w:type="dxa" w:w="1046"/>
          </w:tcPr>
          <w:p>
            <w:pPr>
              <w:jc w:val="center"/>
            </w:pPr>
            <w:r>
              <w:rPr>
                <w:rFonts w:ascii="SimSun" w:hAnsi="SimSun"/>
                <w:b w:val="0"/>
                <w:i w:val="0"/>
                <w:color w:val="000000"/>
                <w:sz w:val="16"/>
                <w:rFonts w:ascii="SimSun" w:hAnsi="SimSun" w:eastAsia="SimSun"/>
              </w:rPr>
              <w:t>0.0388</w:t>
            </w:r>
          </w:p>
        </w:tc>
        <w:tc>
          <w:tcPr>
            <w:tcW w:type="dxa" w:w="1046"/>
          </w:tcPr>
          <w:p>
            <w:pPr>
              <w:jc w:val="center"/>
            </w:pPr>
            <w:r>
              <w:rPr>
                <w:rFonts w:ascii="SimSun" w:hAnsi="SimSun"/>
                <w:b w:val="0"/>
                <w:i w:val="0"/>
                <w:color w:val="000000"/>
                <w:sz w:val="16"/>
                <w:rFonts w:ascii="SimSun" w:hAnsi="SimSun" w:eastAsia="SimSun"/>
              </w:rPr>
              <w:t>111.7</w:t>
            </w:r>
          </w:p>
        </w:tc>
        <w:tc>
          <w:tcPr>
            <w:tcW w:type="dxa" w:w="1046"/>
          </w:tcPr>
          <w:p>
            <w:pPr>
              <w:jc w:val="center"/>
            </w:pPr>
            <w:r>
              <w:rPr>
                <w:rFonts w:ascii="SimSun" w:hAnsi="SimSun"/>
                <w:b w:val="0"/>
                <w:i w:val="0"/>
                <w:color w:val="000000"/>
                <w:sz w:val="16"/>
                <w:rFonts w:ascii="SimSun" w:hAnsi="SimSun" w:eastAsia="SimSun"/>
              </w:rPr>
              <w:t>7,586</w:t>
            </w:r>
          </w:p>
        </w:tc>
        <w:tc>
          <w:tcPr>
            <w:tcW w:type="dxa" w:w="1046"/>
          </w:tcPr>
          <w:p>
            <w:pPr>
              <w:jc w:val="center"/>
            </w:pPr>
            <w:r>
              <w:rPr>
                <w:rFonts w:ascii="SimSun" w:hAnsi="SimSun"/>
                <w:b w:val="0"/>
                <w:i w:val="0"/>
                <w:color w:val="000000"/>
                <w:sz w:val="16"/>
                <w:rFonts w:ascii="SimSun" w:hAnsi="SimSun" w:eastAsia="SimSun"/>
              </w:rPr>
              <w:t>3.2</w:t>
            </w:r>
          </w:p>
        </w:tc>
        <w:tc>
          <w:tcPr>
            <w:tcW w:type="dxa" w:w="1046"/>
          </w:tcPr>
          <w:p>
            <w:pPr>
              <w:jc w:val="center"/>
            </w:pPr>
            <w:r>
              <w:rPr>
                <w:rFonts w:ascii="SimSun" w:hAnsi="SimSun"/>
                <w:b w:val="0"/>
                <w:i w:val="0"/>
                <w:color w:val="000000"/>
                <w:sz w:val="16"/>
                <w:rFonts w:ascii="SimSun" w:hAnsi="SimSun" w:eastAsia="SimSun"/>
              </w:rPr>
              <w:t>18.0 / 8.2</w:t>
            </w:r>
          </w:p>
        </w:tc>
        <w:tc>
          <w:tcPr>
            <w:tcW w:type="dxa" w:w="1046"/>
          </w:tcPr>
          <w:p>
            <w:pPr>
              <w:jc w:val="center"/>
            </w:pPr>
            <w:r>
              <w:rPr>
                <w:rFonts w:ascii="SimSun" w:hAnsi="SimSun"/>
                <w:b w:val="0"/>
                <w:i w:val="0"/>
                <w:color w:val="000000"/>
                <w:sz w:val="16"/>
                <w:rFonts w:ascii="SimSun" w:hAnsi="SimSun" w:eastAsia="SimSun"/>
              </w:rPr>
              <w:t>15.8 / 7.2 (4.8–14.0)</w:t>
            </w:r>
          </w:p>
        </w:tc>
        <w:tc>
          <w:tcPr>
            <w:tcW w:type="dxa" w:w="1046"/>
          </w:tcPr>
          <w:p>
            <w:pPr>
              <w:jc w:val="center"/>
            </w:pPr>
            <w:r>
              <w:rPr>
                <w:rFonts w:ascii="SimSun" w:hAnsi="SimSun"/>
                <w:b w:val="0"/>
                <w:i w:val="0"/>
                <w:color w:val="000000"/>
                <w:sz w:val="16"/>
                <w:rFonts w:ascii="SimSun" w:hAnsi="SimSun" w:eastAsia="SimSun"/>
              </w:rPr>
              <w:t>—</w:t>
            </w:r>
          </w:p>
        </w:tc>
      </w:tr>
    </w:tbl>
    <w:p>
      <w:pPr>
        <w:spacing w:before="80" w:after="40" w:line="288" w:lineRule="auto"/>
        <w:jc w:val="center"/>
      </w:pPr>
      <w:r>
        <w:rPr>
          <w:rFonts w:ascii="SimHei" w:hAnsi="SimHei"/>
          <w:b/>
          <w:i w:val="0"/>
          <w:color w:val="000000"/>
          <w:sz w:val="19"/>
          <w:rFonts w:ascii="SimHei" w:hAnsi="SimHei" w:eastAsia="SimHei"/>
        </w:rPr>
        <w:t>表 2  美国三大呼吸道传染病典型阶段动力学参数与可预测视界测算</w:t>
      </w:r>
    </w:p>
    <w:p>
      <w:pPr>
        <w:spacing w:before="0" w:after="160" w:line="288" w:lineRule="auto"/>
        <w:jc w:val="left"/>
      </w:pPr>
      <w:r>
        <w:rPr>
          <w:rFonts w:ascii="SimSun" w:hAnsi="SimSun"/>
          <w:b w:val="0"/>
          <w:i/>
          <w:color w:val="000000"/>
          <w:sz w:val="16"/>
          <w:rFonts w:ascii="SimSun" w:hAnsi="SimSun" w:eastAsia="SimSun"/>
        </w:rPr>
        <w:t>注：delta R 统一保留小数点后 4 位。代间隔 mu_g 取自权威文献共识与 CDC 设定：Delta 取 4.7 天，Omicron BA.1 取 3.0 天，JN.1 取 3.5 天，流感两季取 3.2 天，RSV 取南非家户传播实测代间隔基准 8.4 天。95% 置信区间基于 2,000 次参数化 Bootstrap 重抽样。RSV 理论外推根受 16–20 周单流行季自然物理跨度截断约束。</w:t>
      </w:r>
    </w:p>
    <w:p>
      <w:pPr>
        <w:spacing w:before="200" w:after="80" w:line="288" w:lineRule="auto"/>
        <w:jc w:val="left"/>
      </w:pPr>
      <w:r>
        <w:rPr>
          <w:rFonts w:ascii="SimHei" w:hAnsi="SimHei"/>
          <w:b/>
          <w:i w:val="0"/>
          <w:color w:val="000000"/>
          <w:sz w:val="24"/>
          <w:rFonts w:ascii="SimHei" w:hAnsi="SimHei" w:eastAsia="SimHei"/>
        </w:rPr>
        <w:t>4.2  前瞻预测误差的四项正交闭合实测分解</w:t>
      </w:r>
    </w:p>
    <w:p>
      <w:pPr>
        <w:spacing w:before="0" w:after="60" w:line="288" w:lineRule="auto"/>
        <w:ind w:firstLine="420"/>
        <w:jc w:val="left"/>
      </w:pPr>
      <w:r>
        <w:rPr>
          <w:rFonts w:ascii="SimSun" w:hAnsi="SimSun"/>
          <w:b w:val="0"/>
          <w:i w:val="0"/>
          <w:color w:val="000000"/>
          <w:sz w:val="21"/>
          <w:rFonts w:ascii="SimSun" w:hAnsi="SimSun" w:eastAsia="SimSun"/>
        </w:rPr>
        <w:t>在真实监测数据中，前瞻预测误差由四项严格加性会计恒等式分解：实测总误差 = CV^2(h) + E_drift(h) + P(h) + E_misspec(h)。核算结果见表 3。</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5"/>
        <w:gridCol w:w="1345"/>
        <w:gridCol w:w="1345"/>
        <w:gridCol w:w="1345"/>
        <w:gridCol w:w="1345"/>
        <w:gridCol w:w="1345"/>
        <w:gridCol w:w="1345"/>
      </w:tblGrid>
      <w:tr>
        <w:tc>
          <w:tcPr>
            <w:tcW w:type="dxa" w:w="1345"/>
            <w:tcBorders>
              <w:bottom w:val="single" w:sz="6" w:space="0" w:color="000000"/>
            </w:tcBorders>
          </w:tcPr>
          <w:p>
            <w:pPr>
              <w:jc w:val="center"/>
            </w:pPr>
            <w:r>
              <w:rPr>
                <w:rFonts w:ascii="SimHei" w:hAnsi="SimHei"/>
                <w:b/>
                <w:i w:val="0"/>
                <w:color w:val="000000"/>
                <w:sz w:val="17"/>
                <w:rFonts w:ascii="SimHei" w:hAnsi="SimHei" w:eastAsia="SimHei"/>
              </w:rPr>
              <w:t>流行阶段 / 病原体</w:t>
            </w:r>
          </w:p>
        </w:tc>
        <w:tc>
          <w:tcPr>
            <w:tcW w:type="dxa" w:w="1345"/>
            <w:tcBorders>
              <w:bottom w:val="single" w:sz="6" w:space="0" w:color="000000"/>
            </w:tcBorders>
          </w:tcPr>
          <w:p>
            <w:pPr>
              <w:jc w:val="center"/>
            </w:pPr>
            <w:r>
              <w:rPr>
                <w:rFonts w:ascii="SimHei" w:hAnsi="SimHei"/>
                <w:b/>
                <w:i w:val="0"/>
                <w:color w:val="000000"/>
                <w:sz w:val="17"/>
                <w:rFonts w:ascii="SimHei" w:hAnsi="SimHei" w:eastAsia="SimHei"/>
              </w:rPr>
              <w:t>前瞻步长 h</w:t>
            </w:r>
          </w:p>
        </w:tc>
        <w:tc>
          <w:tcPr>
            <w:tcW w:type="dxa" w:w="1345"/>
            <w:tcBorders>
              <w:bottom w:val="single" w:sz="6" w:space="0" w:color="000000"/>
            </w:tcBorders>
          </w:tcPr>
          <w:p>
            <w:pPr>
              <w:jc w:val="center"/>
            </w:pPr>
            <w:r>
              <w:rPr>
                <w:rFonts w:ascii="SimHei" w:hAnsi="SimHei"/>
                <w:b/>
                <w:i w:val="0"/>
                <w:color w:val="000000"/>
                <w:sz w:val="17"/>
                <w:rFonts w:ascii="SimHei" w:hAnsi="SimHei" w:eastAsia="SimHei"/>
              </w:rPr>
              <w:t>实测总相对均方误差</w:t>
            </w:r>
          </w:p>
        </w:tc>
        <w:tc>
          <w:tcPr>
            <w:tcW w:type="dxa" w:w="1345"/>
            <w:tcBorders>
              <w:bottom w:val="single" w:sz="6" w:space="0" w:color="000000"/>
            </w:tcBorders>
          </w:tcPr>
          <w:p>
            <w:pPr>
              <w:jc w:val="center"/>
            </w:pPr>
            <w:r>
              <w:rPr>
                <w:rFonts w:ascii="SimHei" w:hAnsi="SimHei"/>
                <w:b/>
                <w:i w:val="0"/>
                <w:color w:val="000000"/>
                <w:sz w:val="17"/>
                <w:rFonts w:ascii="SimHei" w:hAnsi="SimHei" w:eastAsia="SimHei"/>
              </w:rPr>
              <w:t>群体随机性 CV^2</w:t>
            </w:r>
          </w:p>
        </w:tc>
        <w:tc>
          <w:tcPr>
            <w:tcW w:type="dxa" w:w="1345"/>
            <w:tcBorders>
              <w:bottom w:val="single" w:sz="6" w:space="0" w:color="000000"/>
            </w:tcBorders>
          </w:tcPr>
          <w:p>
            <w:pPr>
              <w:jc w:val="center"/>
            </w:pPr>
            <w:r>
              <w:rPr>
                <w:rFonts w:ascii="SimHei" w:hAnsi="SimHei"/>
                <w:b/>
                <w:i w:val="0"/>
                <w:color w:val="000000"/>
                <w:sz w:val="17"/>
                <w:rFonts w:ascii="SimHei" w:hAnsi="SimHei" w:eastAsia="SimHei"/>
              </w:rPr>
              <w:t>时变漂移方差 E_drift</w:t>
            </w:r>
          </w:p>
        </w:tc>
        <w:tc>
          <w:tcPr>
            <w:tcW w:type="dxa" w:w="1345"/>
            <w:tcBorders>
              <w:bottom w:val="single" w:sz="6" w:space="0" w:color="000000"/>
            </w:tcBorders>
          </w:tcPr>
          <w:p>
            <w:pPr>
              <w:jc w:val="center"/>
            </w:pPr>
            <w:r>
              <w:rPr>
                <w:rFonts w:ascii="SimHei" w:hAnsi="SimHei"/>
                <w:b/>
                <w:i w:val="0"/>
                <w:color w:val="000000"/>
                <w:sz w:val="17"/>
                <w:rFonts w:ascii="SimHei" w:hAnsi="SimHei" w:eastAsia="SimHei"/>
              </w:rPr>
              <w:t>参数外推误差 P</w:t>
            </w:r>
          </w:p>
        </w:tc>
        <w:tc>
          <w:tcPr>
            <w:tcW w:type="dxa" w:w="1345"/>
            <w:tcBorders>
              <w:bottom w:val="single" w:sz="6" w:space="0" w:color="000000"/>
            </w:tcBorders>
          </w:tcPr>
          <w:p>
            <w:pPr>
              <w:jc w:val="center"/>
            </w:pPr>
            <w:r>
              <w:rPr>
                <w:rFonts w:ascii="SimHei" w:hAnsi="SimHei"/>
                <w:b/>
                <w:i w:val="0"/>
                <w:color w:val="000000"/>
                <w:sz w:val="17"/>
                <w:rFonts w:ascii="SimHei" w:hAnsi="SimHei" w:eastAsia="SimHei"/>
              </w:rPr>
              <w:t>未建模结构残差 E_misspec</w:t>
            </w:r>
          </w:p>
        </w:tc>
      </w:tr>
      <w:tr>
        <w:tc>
          <w:tcPr>
            <w:tcW w:type="dxa" w:w="1345"/>
          </w:tcPr>
          <w:p>
            <w:pPr>
              <w:jc w:val="left"/>
            </w:pPr>
            <w:r>
              <w:rPr>
                <w:rFonts w:ascii="SimSun" w:hAnsi="SimSun"/>
                <w:b w:val="0"/>
                <w:i w:val="0"/>
                <w:color w:val="000000"/>
                <w:sz w:val="16"/>
                <w:rFonts w:ascii="SimSun" w:hAnsi="SimSun" w:eastAsia="SimSun"/>
              </w:rPr>
              <w:t>COVID-19 Delta 暴发期</w:t>
            </w:r>
          </w:p>
        </w:tc>
        <w:tc>
          <w:tcPr>
            <w:tcW w:type="dxa" w:w="1345"/>
          </w:tcPr>
          <w:p>
            <w:pPr>
              <w:jc w:val="center"/>
            </w:pPr>
            <w:r>
              <w:rPr>
                <w:rFonts w:ascii="SimSun" w:hAnsi="SimSun"/>
                <w:b w:val="0"/>
                <w:i w:val="0"/>
                <w:color w:val="000000"/>
                <w:sz w:val="16"/>
                <w:rFonts w:ascii="SimSun" w:hAnsi="SimSun" w:eastAsia="SimSun"/>
              </w:rPr>
              <w:t>1 周</w:t>
            </w:r>
          </w:p>
        </w:tc>
        <w:tc>
          <w:tcPr>
            <w:tcW w:type="dxa" w:w="1345"/>
          </w:tcPr>
          <w:p>
            <w:pPr>
              <w:jc w:val="left"/>
            </w:pPr>
            <w:r>
              <w:rPr>
                <w:rFonts w:ascii="SimSun" w:hAnsi="SimSun"/>
                <w:b w:val="0"/>
                <w:i w:val="0"/>
                <w:color w:val="000000"/>
                <w:sz w:val="16"/>
                <w:rFonts w:ascii="SimSun" w:hAnsi="SimSun" w:eastAsia="SimSun"/>
              </w:rPr>
              <w:t>213.0 (100.0%)</w:t>
            </w:r>
          </w:p>
        </w:tc>
        <w:tc>
          <w:tcPr>
            <w:tcW w:type="dxa" w:w="1345"/>
          </w:tcPr>
          <w:p>
            <w:pPr>
              <w:jc w:val="left"/>
            </w:pPr>
            <w:r>
              <w:rPr>
                <w:rFonts w:ascii="SimSun" w:hAnsi="SimSun"/>
                <w:b w:val="0"/>
                <w:i w:val="0"/>
                <w:color w:val="000000"/>
                <w:sz w:val="16"/>
                <w:rFonts w:ascii="SimSun" w:hAnsi="SimSun" w:eastAsia="SimSun"/>
              </w:rPr>
              <w:t>0.27 (0.13%)</w:t>
            </w:r>
          </w:p>
        </w:tc>
        <w:tc>
          <w:tcPr>
            <w:tcW w:type="dxa" w:w="1345"/>
          </w:tcPr>
          <w:p>
            <w:pPr>
              <w:jc w:val="left"/>
            </w:pPr>
            <w:r>
              <w:rPr>
                <w:rFonts w:ascii="SimSun" w:hAnsi="SimSun"/>
                <w:b w:val="0"/>
                <w:i w:val="0"/>
                <w:color w:val="000000"/>
                <w:sz w:val="16"/>
                <w:rFonts w:ascii="SimSun" w:hAnsi="SimSun" w:eastAsia="SimSun"/>
              </w:rPr>
              <w:t>3.36 (1.58%)</w:t>
            </w:r>
          </w:p>
        </w:tc>
        <w:tc>
          <w:tcPr>
            <w:tcW w:type="dxa" w:w="1345"/>
          </w:tcPr>
          <w:p>
            <w:pPr>
              <w:jc w:val="left"/>
            </w:pPr>
            <w:r>
              <w:rPr>
                <w:rFonts w:ascii="SimSun" w:hAnsi="SimSun"/>
                <w:b w:val="0"/>
                <w:i w:val="0"/>
                <w:color w:val="000000"/>
                <w:sz w:val="16"/>
                <w:rFonts w:ascii="SimSun" w:hAnsi="SimSun" w:eastAsia="SimSun"/>
              </w:rPr>
              <w:t>4.70 (2.21%)</w:t>
            </w:r>
          </w:p>
        </w:tc>
        <w:tc>
          <w:tcPr>
            <w:tcW w:type="dxa" w:w="1345"/>
          </w:tcPr>
          <w:p>
            <w:pPr>
              <w:jc w:val="left"/>
            </w:pPr>
            <w:r>
              <w:rPr>
                <w:rFonts w:ascii="SimSun" w:hAnsi="SimSun"/>
                <w:b w:val="0"/>
                <w:i w:val="0"/>
                <w:color w:val="000000"/>
                <w:sz w:val="16"/>
                <w:rFonts w:ascii="SimSun" w:hAnsi="SimSun" w:eastAsia="SimSun"/>
              </w:rPr>
              <w:t>204.7 (96.09%)</w:t>
            </w:r>
          </w:p>
        </w:tc>
      </w:tr>
      <w:tr>
        <w:tc>
          <w:tcPr>
            <w:tcW w:type="dxa" w:w="1345"/>
          </w:tcPr>
          <w:p>
            <w:pPr>
              <w:jc w:val="left"/>
            </w:pPr>
            <w:r>
              <w:rPr>
                <w:rFonts w:ascii="SimSun" w:hAnsi="SimSun"/>
                <w:b w:val="0"/>
                <w:i w:val="0"/>
                <w:color w:val="000000"/>
                <w:sz w:val="16"/>
                <w:rFonts w:ascii="SimSun" w:hAnsi="SimSun" w:eastAsia="SimSun"/>
              </w:rPr>
              <w:t>COVID-19 Delta 暴发期</w:t>
            </w:r>
          </w:p>
        </w:tc>
        <w:tc>
          <w:tcPr>
            <w:tcW w:type="dxa" w:w="1345"/>
          </w:tcPr>
          <w:p>
            <w:pPr>
              <w:jc w:val="center"/>
            </w:pPr>
            <w:r>
              <w:rPr>
                <w:rFonts w:ascii="SimSun" w:hAnsi="SimSun"/>
                <w:b w:val="0"/>
                <w:i w:val="0"/>
                <w:color w:val="000000"/>
                <w:sz w:val="16"/>
                <w:rFonts w:ascii="SimSun" w:hAnsi="SimSun" w:eastAsia="SimSun"/>
              </w:rPr>
              <w:t>4 周</w:t>
            </w:r>
          </w:p>
        </w:tc>
        <w:tc>
          <w:tcPr>
            <w:tcW w:type="dxa" w:w="1345"/>
          </w:tcPr>
          <w:p>
            <w:pPr>
              <w:jc w:val="left"/>
            </w:pPr>
            <w:r>
              <w:rPr>
                <w:rFonts w:ascii="SimSun" w:hAnsi="SimSun"/>
                <w:b w:val="0"/>
                <w:i w:val="0"/>
                <w:color w:val="000000"/>
                <w:sz w:val="16"/>
                <w:rFonts w:ascii="SimSun" w:hAnsi="SimSun" w:eastAsia="SimSun"/>
              </w:rPr>
              <w:t>894.0 (100.0%)</w:t>
            </w:r>
          </w:p>
        </w:tc>
        <w:tc>
          <w:tcPr>
            <w:tcW w:type="dxa" w:w="1345"/>
          </w:tcPr>
          <w:p>
            <w:pPr>
              <w:jc w:val="left"/>
            </w:pPr>
            <w:r>
              <w:rPr>
                <w:rFonts w:ascii="SimSun" w:hAnsi="SimSun"/>
                <w:b w:val="0"/>
                <w:i w:val="0"/>
                <w:color w:val="000000"/>
                <w:sz w:val="16"/>
                <w:rFonts w:ascii="SimSun" w:hAnsi="SimSun" w:eastAsia="SimSun"/>
              </w:rPr>
              <w:t>0.75 (0.08%)</w:t>
            </w:r>
          </w:p>
        </w:tc>
        <w:tc>
          <w:tcPr>
            <w:tcW w:type="dxa" w:w="1345"/>
          </w:tcPr>
          <w:p>
            <w:pPr>
              <w:jc w:val="left"/>
            </w:pPr>
            <w:r>
              <w:rPr>
                <w:rFonts w:ascii="SimSun" w:hAnsi="SimSun"/>
                <w:b w:val="0"/>
                <w:i w:val="0"/>
                <w:color w:val="000000"/>
                <w:sz w:val="16"/>
                <w:rFonts w:ascii="SimSun" w:hAnsi="SimSun" w:eastAsia="SimSun"/>
              </w:rPr>
              <w:t>13.44 (1.50%)</w:t>
            </w:r>
          </w:p>
        </w:tc>
        <w:tc>
          <w:tcPr>
            <w:tcW w:type="dxa" w:w="1345"/>
          </w:tcPr>
          <w:p>
            <w:pPr>
              <w:jc w:val="left"/>
            </w:pPr>
            <w:r>
              <w:rPr>
                <w:rFonts w:ascii="SimSun" w:hAnsi="SimSun"/>
                <w:b w:val="0"/>
                <w:i w:val="0"/>
                <w:color w:val="000000"/>
                <w:sz w:val="16"/>
                <w:rFonts w:ascii="SimSun" w:hAnsi="SimSun" w:eastAsia="SimSun"/>
              </w:rPr>
              <w:t>75.17 (8.41%)</w:t>
            </w:r>
          </w:p>
        </w:tc>
        <w:tc>
          <w:tcPr>
            <w:tcW w:type="dxa" w:w="1345"/>
          </w:tcPr>
          <w:p>
            <w:pPr>
              <w:jc w:val="left"/>
            </w:pPr>
            <w:r>
              <w:rPr>
                <w:rFonts w:ascii="SimSun" w:hAnsi="SimSun"/>
                <w:b w:val="0"/>
                <w:i w:val="0"/>
                <w:color w:val="000000"/>
                <w:sz w:val="16"/>
                <w:rFonts w:ascii="SimSun" w:hAnsi="SimSun" w:eastAsia="SimSun"/>
              </w:rPr>
              <w:t>804.6 (90.01%)</w:t>
            </w:r>
          </w:p>
        </w:tc>
      </w:tr>
      <w:tr>
        <w:tc>
          <w:tcPr>
            <w:tcW w:type="dxa" w:w="1345"/>
          </w:tcPr>
          <w:p>
            <w:pPr>
              <w:jc w:val="left"/>
            </w:pPr>
            <w:r>
              <w:rPr>
                <w:rFonts w:ascii="SimSun" w:hAnsi="SimSun"/>
                <w:b w:val="0"/>
                <w:i w:val="0"/>
                <w:color w:val="000000"/>
                <w:sz w:val="16"/>
                <w:rFonts w:ascii="SimSun" w:hAnsi="SimSun" w:eastAsia="SimSun"/>
              </w:rPr>
              <w:t>COVID-19 Delta 暴发期</w:t>
            </w:r>
          </w:p>
        </w:tc>
        <w:tc>
          <w:tcPr>
            <w:tcW w:type="dxa" w:w="1345"/>
          </w:tcPr>
          <w:p>
            <w:pPr>
              <w:jc w:val="center"/>
            </w:pPr>
            <w:r>
              <w:rPr>
                <w:rFonts w:ascii="SimSun" w:hAnsi="SimSun"/>
                <w:b w:val="0"/>
                <w:i w:val="0"/>
                <w:color w:val="000000"/>
                <w:sz w:val="16"/>
                <w:rFonts w:ascii="SimSun" w:hAnsi="SimSun" w:eastAsia="SimSun"/>
              </w:rPr>
              <w:t>8 周</w:t>
            </w:r>
          </w:p>
        </w:tc>
        <w:tc>
          <w:tcPr>
            <w:tcW w:type="dxa" w:w="1345"/>
          </w:tcPr>
          <w:p>
            <w:pPr>
              <w:jc w:val="left"/>
            </w:pPr>
            <w:r>
              <w:rPr>
                <w:rFonts w:ascii="SimSun" w:hAnsi="SimSun"/>
                <w:b w:val="0"/>
                <w:i w:val="0"/>
                <w:color w:val="000000"/>
                <w:sz w:val="16"/>
                <w:rFonts w:ascii="SimSun" w:hAnsi="SimSun" w:eastAsia="SimSun"/>
              </w:rPr>
              <w:t>2351.0 (100.0%)</w:t>
            </w:r>
          </w:p>
        </w:tc>
        <w:tc>
          <w:tcPr>
            <w:tcW w:type="dxa" w:w="1345"/>
          </w:tcPr>
          <w:p>
            <w:pPr>
              <w:jc w:val="left"/>
            </w:pPr>
            <w:r>
              <w:rPr>
                <w:rFonts w:ascii="SimSun" w:hAnsi="SimSun"/>
                <w:b w:val="0"/>
                <w:i w:val="0"/>
                <w:color w:val="000000"/>
                <w:sz w:val="16"/>
                <w:rFonts w:ascii="SimSun" w:hAnsi="SimSun" w:eastAsia="SimSun"/>
              </w:rPr>
              <w:t>1.00 (0.04%)</w:t>
            </w:r>
          </w:p>
        </w:tc>
        <w:tc>
          <w:tcPr>
            <w:tcW w:type="dxa" w:w="1345"/>
          </w:tcPr>
          <w:p>
            <w:pPr>
              <w:jc w:val="left"/>
            </w:pPr>
            <w:r>
              <w:rPr>
                <w:rFonts w:ascii="SimSun" w:hAnsi="SimSun"/>
                <w:b w:val="0"/>
                <w:i w:val="0"/>
                <w:color w:val="000000"/>
                <w:sz w:val="16"/>
                <w:rFonts w:ascii="SimSun" w:hAnsi="SimSun" w:eastAsia="SimSun"/>
              </w:rPr>
              <w:t>26.87 (1.14%)</w:t>
            </w:r>
          </w:p>
        </w:tc>
        <w:tc>
          <w:tcPr>
            <w:tcW w:type="dxa" w:w="1345"/>
          </w:tcPr>
          <w:p>
            <w:pPr>
              <w:jc w:val="left"/>
            </w:pPr>
            <w:r>
              <w:rPr>
                <w:rFonts w:ascii="SimSun" w:hAnsi="SimSun"/>
                <w:b w:val="0"/>
                <w:i w:val="0"/>
                <w:color w:val="000000"/>
                <w:sz w:val="16"/>
                <w:rFonts w:ascii="SimSun" w:hAnsi="SimSun" w:eastAsia="SimSun"/>
              </w:rPr>
              <w:t>300.67 (12.79%)</w:t>
            </w:r>
          </w:p>
        </w:tc>
        <w:tc>
          <w:tcPr>
            <w:tcW w:type="dxa" w:w="1345"/>
          </w:tcPr>
          <w:p>
            <w:pPr>
              <w:jc w:val="left"/>
            </w:pPr>
            <w:r>
              <w:rPr>
                <w:rFonts w:ascii="SimSun" w:hAnsi="SimSun"/>
                <w:b w:val="0"/>
                <w:i w:val="0"/>
                <w:color w:val="000000"/>
                <w:sz w:val="16"/>
                <w:rFonts w:ascii="SimSun" w:hAnsi="SimSun" w:eastAsia="SimSun"/>
              </w:rPr>
              <w:t>2022.5 (86.03%)</w:t>
            </w:r>
          </w:p>
        </w:tc>
      </w:tr>
      <w:tr>
        <w:tc>
          <w:tcPr>
            <w:tcW w:type="dxa" w:w="1345"/>
          </w:tcPr>
          <w:p>
            <w:pPr>
              <w:jc w:val="left"/>
            </w:pPr>
            <w:r>
              <w:rPr>
                <w:rFonts w:ascii="SimSun" w:hAnsi="SimSun"/>
                <w:b w:val="0"/>
                <w:i w:val="0"/>
                <w:color w:val="000000"/>
                <w:sz w:val="16"/>
                <w:rFonts w:ascii="SimSun" w:hAnsi="SimSun" w:eastAsia="SimSun"/>
              </w:rPr>
              <w:t>RSV 2024–25 流行季</w:t>
            </w:r>
          </w:p>
        </w:tc>
        <w:tc>
          <w:tcPr>
            <w:tcW w:type="dxa" w:w="1345"/>
          </w:tcPr>
          <w:p>
            <w:pPr>
              <w:jc w:val="center"/>
            </w:pPr>
            <w:r>
              <w:rPr>
                <w:rFonts w:ascii="SimSun" w:hAnsi="SimSun"/>
                <w:b w:val="0"/>
                <w:i w:val="0"/>
                <w:color w:val="000000"/>
                <w:sz w:val="16"/>
                <w:rFonts w:ascii="SimSun" w:hAnsi="SimSun" w:eastAsia="SimSun"/>
              </w:rPr>
              <w:t>2 周</w:t>
            </w:r>
          </w:p>
        </w:tc>
        <w:tc>
          <w:tcPr>
            <w:tcW w:type="dxa" w:w="1345"/>
          </w:tcPr>
          <w:p>
            <w:pPr>
              <w:jc w:val="left"/>
            </w:pPr>
            <w:r>
              <w:rPr>
                <w:rFonts w:ascii="SimSun" w:hAnsi="SimSun"/>
                <w:b w:val="0"/>
                <w:i w:val="0"/>
                <w:color w:val="000000"/>
                <w:sz w:val="16"/>
                <w:rFonts w:ascii="SimSun" w:hAnsi="SimSun" w:eastAsia="SimSun"/>
              </w:rPr>
              <w:t>185.0 (100.0%)</w:t>
            </w:r>
          </w:p>
        </w:tc>
        <w:tc>
          <w:tcPr>
            <w:tcW w:type="dxa" w:w="1345"/>
          </w:tcPr>
          <w:p>
            <w:pPr>
              <w:jc w:val="left"/>
            </w:pPr>
            <w:r>
              <w:rPr>
                <w:rFonts w:ascii="SimSun" w:hAnsi="SimSun"/>
                <w:b w:val="0"/>
                <w:i w:val="0"/>
                <w:color w:val="000000"/>
                <w:sz w:val="16"/>
                <w:rFonts w:ascii="SimSun" w:hAnsi="SimSun" w:eastAsia="SimSun"/>
              </w:rPr>
              <w:t>3.31 (1.79%)</w:t>
            </w:r>
          </w:p>
        </w:tc>
        <w:tc>
          <w:tcPr>
            <w:tcW w:type="dxa" w:w="1345"/>
          </w:tcPr>
          <w:p>
            <w:pPr>
              <w:jc w:val="left"/>
            </w:pPr>
            <w:r>
              <w:rPr>
                <w:rFonts w:ascii="SimSun" w:hAnsi="SimSun"/>
                <w:b w:val="0"/>
                <w:i w:val="0"/>
                <w:color w:val="000000"/>
                <w:sz w:val="16"/>
                <w:rFonts w:ascii="SimSun" w:hAnsi="SimSun" w:eastAsia="SimSun"/>
              </w:rPr>
              <w:t>4.94 (2.67%)</w:t>
            </w:r>
          </w:p>
        </w:tc>
        <w:tc>
          <w:tcPr>
            <w:tcW w:type="dxa" w:w="1345"/>
          </w:tcPr>
          <w:p>
            <w:pPr>
              <w:jc w:val="left"/>
            </w:pPr>
            <w:r>
              <w:rPr>
                <w:rFonts w:ascii="SimSun" w:hAnsi="SimSun"/>
                <w:b w:val="0"/>
                <w:i w:val="0"/>
                <w:color w:val="000000"/>
                <w:sz w:val="16"/>
                <w:rFonts w:ascii="SimSun" w:hAnsi="SimSun" w:eastAsia="SimSun"/>
              </w:rPr>
              <w:t>5.54 (3.00%)</w:t>
            </w:r>
          </w:p>
        </w:tc>
        <w:tc>
          <w:tcPr>
            <w:tcW w:type="dxa" w:w="1345"/>
          </w:tcPr>
          <w:p>
            <w:pPr>
              <w:jc w:val="left"/>
            </w:pPr>
            <w:r>
              <w:rPr>
                <w:rFonts w:ascii="SimSun" w:hAnsi="SimSun"/>
                <w:b w:val="0"/>
                <w:i w:val="0"/>
                <w:color w:val="000000"/>
                <w:sz w:val="16"/>
                <w:rFonts w:ascii="SimSun" w:hAnsi="SimSun" w:eastAsia="SimSun"/>
              </w:rPr>
              <w:t>171.2 (92.54%)</w:t>
            </w:r>
          </w:p>
        </w:tc>
      </w:tr>
      <w:tr>
        <w:tc>
          <w:tcPr>
            <w:tcW w:type="dxa" w:w="1345"/>
          </w:tcPr>
          <w:p>
            <w:pPr>
              <w:jc w:val="left"/>
            </w:pPr>
            <w:r>
              <w:rPr>
                <w:rFonts w:ascii="SimSun" w:hAnsi="SimSun"/>
                <w:b w:val="0"/>
                <w:i w:val="0"/>
                <w:color w:val="000000"/>
                <w:sz w:val="16"/>
                <w:rFonts w:ascii="SimSun" w:hAnsi="SimSun" w:eastAsia="SimSun"/>
              </w:rPr>
              <w:t>RSV 2024–25 流行季</w:t>
            </w:r>
          </w:p>
        </w:tc>
        <w:tc>
          <w:tcPr>
            <w:tcW w:type="dxa" w:w="1345"/>
          </w:tcPr>
          <w:p>
            <w:pPr>
              <w:jc w:val="center"/>
            </w:pPr>
            <w:r>
              <w:rPr>
                <w:rFonts w:ascii="SimSun" w:hAnsi="SimSun"/>
                <w:b w:val="0"/>
                <w:i w:val="0"/>
                <w:color w:val="000000"/>
                <w:sz w:val="16"/>
                <w:rFonts w:ascii="SimSun" w:hAnsi="SimSun" w:eastAsia="SimSun"/>
              </w:rPr>
              <w:t>4 周</w:t>
            </w:r>
          </w:p>
        </w:tc>
        <w:tc>
          <w:tcPr>
            <w:tcW w:type="dxa" w:w="1345"/>
          </w:tcPr>
          <w:p>
            <w:pPr>
              <w:jc w:val="left"/>
            </w:pPr>
            <w:r>
              <w:rPr>
                <w:rFonts w:ascii="SimSun" w:hAnsi="SimSun"/>
                <w:b w:val="0"/>
                <w:i w:val="0"/>
                <w:color w:val="000000"/>
                <w:sz w:val="16"/>
                <w:rFonts w:ascii="SimSun" w:hAnsi="SimSun" w:eastAsia="SimSun"/>
              </w:rPr>
              <w:t>620.0 (100.0%)</w:t>
            </w:r>
          </w:p>
        </w:tc>
        <w:tc>
          <w:tcPr>
            <w:tcW w:type="dxa" w:w="1345"/>
          </w:tcPr>
          <w:p>
            <w:pPr>
              <w:jc w:val="left"/>
            </w:pPr>
            <w:r>
              <w:rPr>
                <w:rFonts w:ascii="SimSun" w:hAnsi="SimSun"/>
                <w:b w:val="0"/>
                <w:i w:val="0"/>
                <w:color w:val="000000"/>
                <w:sz w:val="16"/>
                <w:rFonts w:ascii="SimSun" w:hAnsi="SimSun" w:eastAsia="SimSun"/>
              </w:rPr>
              <w:t>5.46 (0.88%)</w:t>
            </w:r>
          </w:p>
        </w:tc>
        <w:tc>
          <w:tcPr>
            <w:tcW w:type="dxa" w:w="1345"/>
          </w:tcPr>
          <w:p>
            <w:pPr>
              <w:jc w:val="left"/>
            </w:pPr>
            <w:r>
              <w:rPr>
                <w:rFonts w:ascii="SimSun" w:hAnsi="SimSun"/>
                <w:b w:val="0"/>
                <w:i w:val="0"/>
                <w:color w:val="000000"/>
                <w:sz w:val="16"/>
                <w:rFonts w:ascii="SimSun" w:hAnsi="SimSun" w:eastAsia="SimSun"/>
              </w:rPr>
              <w:t>9.89 (1.59%)</w:t>
            </w:r>
          </w:p>
        </w:tc>
        <w:tc>
          <w:tcPr>
            <w:tcW w:type="dxa" w:w="1345"/>
          </w:tcPr>
          <w:p>
            <w:pPr>
              <w:jc w:val="left"/>
            </w:pPr>
            <w:r>
              <w:rPr>
                <w:rFonts w:ascii="SimSun" w:hAnsi="SimSun"/>
                <w:b w:val="0"/>
                <w:i w:val="0"/>
                <w:color w:val="000000"/>
                <w:sz w:val="16"/>
                <w:rFonts w:ascii="SimSun" w:hAnsi="SimSun" w:eastAsia="SimSun"/>
              </w:rPr>
              <w:t>22.17 (3.58%)</w:t>
            </w:r>
          </w:p>
        </w:tc>
        <w:tc>
          <w:tcPr>
            <w:tcW w:type="dxa" w:w="1345"/>
          </w:tcPr>
          <w:p>
            <w:pPr>
              <w:jc w:val="left"/>
            </w:pPr>
            <w:r>
              <w:rPr>
                <w:rFonts w:ascii="SimSun" w:hAnsi="SimSun"/>
                <w:b w:val="0"/>
                <w:i w:val="0"/>
                <w:color w:val="000000"/>
                <w:sz w:val="16"/>
                <w:rFonts w:ascii="SimSun" w:hAnsi="SimSun" w:eastAsia="SimSun"/>
              </w:rPr>
              <w:t>582.5 (93.95%)</w:t>
            </w:r>
          </w:p>
        </w:tc>
      </w:tr>
      <w:tr>
        <w:tc>
          <w:tcPr>
            <w:tcW w:type="dxa" w:w="1345"/>
          </w:tcPr>
          <w:p>
            <w:pPr>
              <w:jc w:val="left"/>
            </w:pPr>
            <w:r>
              <w:rPr>
                <w:rFonts w:ascii="SimSun" w:hAnsi="SimSun"/>
                <w:b w:val="0"/>
                <w:i w:val="0"/>
                <w:color w:val="000000"/>
                <w:sz w:val="16"/>
                <w:rFonts w:ascii="SimSun" w:hAnsi="SimSun" w:eastAsia="SimSun"/>
              </w:rPr>
              <w:t>RSV 2025–26 流行季</w:t>
            </w:r>
          </w:p>
        </w:tc>
        <w:tc>
          <w:tcPr>
            <w:tcW w:type="dxa" w:w="1345"/>
          </w:tcPr>
          <w:p>
            <w:pPr>
              <w:jc w:val="center"/>
            </w:pPr>
            <w:r>
              <w:rPr>
                <w:rFonts w:ascii="SimSun" w:hAnsi="SimSun"/>
                <w:b w:val="0"/>
                <w:i w:val="0"/>
                <w:color w:val="000000"/>
                <w:sz w:val="16"/>
                <w:rFonts w:ascii="SimSun" w:hAnsi="SimSun" w:eastAsia="SimSun"/>
              </w:rPr>
              <w:t>2 周</w:t>
            </w:r>
          </w:p>
        </w:tc>
        <w:tc>
          <w:tcPr>
            <w:tcW w:type="dxa" w:w="1345"/>
          </w:tcPr>
          <w:p>
            <w:pPr>
              <w:jc w:val="left"/>
            </w:pPr>
            <w:r>
              <w:rPr>
                <w:rFonts w:ascii="SimSun" w:hAnsi="SimSun"/>
                <w:b w:val="0"/>
                <w:i w:val="0"/>
                <w:color w:val="000000"/>
                <w:sz w:val="16"/>
                <w:rFonts w:ascii="SimSun" w:hAnsi="SimSun" w:eastAsia="SimSun"/>
              </w:rPr>
              <w:t>142.0 (100.0%)</w:t>
            </w:r>
          </w:p>
        </w:tc>
        <w:tc>
          <w:tcPr>
            <w:tcW w:type="dxa" w:w="1345"/>
          </w:tcPr>
          <w:p>
            <w:pPr>
              <w:jc w:val="left"/>
            </w:pPr>
            <w:r>
              <w:rPr>
                <w:rFonts w:ascii="SimSun" w:hAnsi="SimSun"/>
                <w:b w:val="0"/>
                <w:i w:val="0"/>
                <w:color w:val="000000"/>
                <w:sz w:val="16"/>
                <w:rFonts w:ascii="SimSun" w:hAnsi="SimSun" w:eastAsia="SimSun"/>
              </w:rPr>
              <w:t>8.06 (5.68%)</w:t>
            </w:r>
          </w:p>
        </w:tc>
        <w:tc>
          <w:tcPr>
            <w:tcW w:type="dxa" w:w="1345"/>
          </w:tcPr>
          <w:p>
            <w:pPr>
              <w:jc w:val="left"/>
            </w:pPr>
            <w:r>
              <w:rPr>
                <w:rFonts w:ascii="SimSun" w:hAnsi="SimSun"/>
                <w:b w:val="0"/>
                <w:i w:val="0"/>
                <w:color w:val="000000"/>
                <w:sz w:val="16"/>
                <w:rFonts w:ascii="SimSun" w:hAnsi="SimSun" w:eastAsia="SimSun"/>
              </w:rPr>
              <w:t>3.57 (2.51%)</w:t>
            </w:r>
          </w:p>
        </w:tc>
        <w:tc>
          <w:tcPr>
            <w:tcW w:type="dxa" w:w="1345"/>
          </w:tcPr>
          <w:p>
            <w:pPr>
              <w:jc w:val="left"/>
            </w:pPr>
            <w:r>
              <w:rPr>
                <w:rFonts w:ascii="SimSun" w:hAnsi="SimSun"/>
                <w:b w:val="0"/>
                <w:i w:val="0"/>
                <w:color w:val="000000"/>
                <w:sz w:val="16"/>
                <w:rFonts w:ascii="SimSun" w:hAnsi="SimSun" w:eastAsia="SimSun"/>
              </w:rPr>
              <w:t>2.15 (1.52%)</w:t>
            </w:r>
          </w:p>
        </w:tc>
        <w:tc>
          <w:tcPr>
            <w:tcW w:type="dxa" w:w="1345"/>
          </w:tcPr>
          <w:p>
            <w:pPr>
              <w:jc w:val="left"/>
            </w:pPr>
            <w:r>
              <w:rPr>
                <w:rFonts w:ascii="SimSun" w:hAnsi="SimSun"/>
                <w:b w:val="0"/>
                <w:i w:val="0"/>
                <w:color w:val="000000"/>
                <w:sz w:val="16"/>
                <w:rFonts w:ascii="SimSun" w:hAnsi="SimSun" w:eastAsia="SimSun"/>
              </w:rPr>
              <w:t>128.2 (90.29%)</w:t>
            </w:r>
          </w:p>
        </w:tc>
      </w:tr>
      <w:tr>
        <w:tc>
          <w:tcPr>
            <w:tcW w:type="dxa" w:w="1345"/>
          </w:tcPr>
          <w:p>
            <w:pPr>
              <w:jc w:val="left"/>
            </w:pPr>
            <w:r>
              <w:rPr>
                <w:rFonts w:ascii="SimSun" w:hAnsi="SimSun"/>
                <w:b w:val="0"/>
                <w:i w:val="0"/>
                <w:color w:val="000000"/>
                <w:sz w:val="16"/>
                <w:rFonts w:ascii="SimSun" w:hAnsi="SimSun" w:eastAsia="SimSun"/>
              </w:rPr>
              <w:t>RSV 2025–26 流行季</w:t>
            </w:r>
          </w:p>
        </w:tc>
        <w:tc>
          <w:tcPr>
            <w:tcW w:type="dxa" w:w="1345"/>
          </w:tcPr>
          <w:p>
            <w:pPr>
              <w:jc w:val="center"/>
            </w:pPr>
            <w:r>
              <w:rPr>
                <w:rFonts w:ascii="SimSun" w:hAnsi="SimSun"/>
                <w:b w:val="0"/>
                <w:i w:val="0"/>
                <w:color w:val="000000"/>
                <w:sz w:val="16"/>
                <w:rFonts w:ascii="SimSun" w:hAnsi="SimSun" w:eastAsia="SimSun"/>
              </w:rPr>
              <w:t>4 周</w:t>
            </w:r>
          </w:p>
        </w:tc>
        <w:tc>
          <w:tcPr>
            <w:tcW w:type="dxa" w:w="1345"/>
          </w:tcPr>
          <w:p>
            <w:pPr>
              <w:jc w:val="left"/>
            </w:pPr>
            <w:r>
              <w:rPr>
                <w:rFonts w:ascii="SimSun" w:hAnsi="SimSun"/>
                <w:b w:val="0"/>
                <w:i w:val="0"/>
                <w:color w:val="000000"/>
                <w:sz w:val="16"/>
                <w:rFonts w:ascii="SimSun" w:hAnsi="SimSun" w:eastAsia="SimSun"/>
              </w:rPr>
              <w:t>485.0 (100.0%)</w:t>
            </w:r>
          </w:p>
        </w:tc>
        <w:tc>
          <w:tcPr>
            <w:tcW w:type="dxa" w:w="1345"/>
          </w:tcPr>
          <w:p>
            <w:pPr>
              <w:jc w:val="left"/>
            </w:pPr>
            <w:r>
              <w:rPr>
                <w:rFonts w:ascii="SimSun" w:hAnsi="SimSun"/>
                <w:b w:val="0"/>
                <w:i w:val="0"/>
                <w:color w:val="000000"/>
                <w:sz w:val="16"/>
                <w:rFonts w:ascii="SimSun" w:hAnsi="SimSun" w:eastAsia="SimSun"/>
              </w:rPr>
              <w:t>13.54 (2.79%)</w:t>
            </w:r>
          </w:p>
        </w:tc>
        <w:tc>
          <w:tcPr>
            <w:tcW w:type="dxa" w:w="1345"/>
          </w:tcPr>
          <w:p>
            <w:pPr>
              <w:jc w:val="left"/>
            </w:pPr>
            <w:r>
              <w:rPr>
                <w:rFonts w:ascii="SimSun" w:hAnsi="SimSun"/>
                <w:b w:val="0"/>
                <w:i w:val="0"/>
                <w:color w:val="000000"/>
                <w:sz w:val="16"/>
                <w:rFonts w:ascii="SimSun" w:hAnsi="SimSun" w:eastAsia="SimSun"/>
              </w:rPr>
              <w:t>7.13 (1.47%)</w:t>
            </w:r>
          </w:p>
        </w:tc>
        <w:tc>
          <w:tcPr>
            <w:tcW w:type="dxa" w:w="1345"/>
          </w:tcPr>
          <w:p>
            <w:pPr>
              <w:jc w:val="left"/>
            </w:pPr>
            <w:r>
              <w:rPr>
                <w:rFonts w:ascii="SimSun" w:hAnsi="SimSun"/>
                <w:b w:val="0"/>
                <w:i w:val="0"/>
                <w:color w:val="000000"/>
                <w:sz w:val="16"/>
                <w:rFonts w:ascii="SimSun" w:hAnsi="SimSun" w:eastAsia="SimSun"/>
              </w:rPr>
              <w:t>8.61 (1.78%)</w:t>
            </w:r>
          </w:p>
        </w:tc>
        <w:tc>
          <w:tcPr>
            <w:tcW w:type="dxa" w:w="1345"/>
          </w:tcPr>
          <w:p>
            <w:pPr>
              <w:jc w:val="left"/>
            </w:pPr>
            <w:r>
              <w:rPr>
                <w:rFonts w:ascii="SimSun" w:hAnsi="SimSun"/>
                <w:b w:val="0"/>
                <w:i w:val="0"/>
                <w:color w:val="000000"/>
                <w:sz w:val="16"/>
                <w:rFonts w:ascii="SimSun" w:hAnsi="SimSun" w:eastAsia="SimSun"/>
              </w:rPr>
              <w:t>455.7 (93.96%)</w:t>
            </w:r>
          </w:p>
        </w:tc>
      </w:tr>
      <w:tr>
        <w:tc>
          <w:tcPr>
            <w:tcW w:type="dxa" w:w="1345"/>
          </w:tcPr>
          <w:p>
            <w:pPr>
              <w:jc w:val="left"/>
            </w:pPr>
            <w:r>
              <w:rPr>
                <w:rFonts w:ascii="SimSun" w:hAnsi="SimSun"/>
                <w:b w:val="0"/>
                <w:i w:val="0"/>
                <w:color w:val="000000"/>
                <w:sz w:val="16"/>
                <w:rFonts w:ascii="SimSun" w:hAnsi="SimSun" w:eastAsia="SimSun"/>
              </w:rPr>
              <w:t>流感 2022–23 暴发早期</w:t>
            </w:r>
          </w:p>
        </w:tc>
        <w:tc>
          <w:tcPr>
            <w:tcW w:type="dxa" w:w="1345"/>
          </w:tcPr>
          <w:p>
            <w:pPr>
              <w:jc w:val="center"/>
            </w:pPr>
            <w:r>
              <w:rPr>
                <w:rFonts w:ascii="SimSun" w:hAnsi="SimSun"/>
                <w:b w:val="0"/>
                <w:i w:val="0"/>
                <w:color w:val="000000"/>
                <w:sz w:val="16"/>
                <w:rFonts w:ascii="SimSun" w:hAnsi="SimSun" w:eastAsia="SimSun"/>
              </w:rPr>
              <w:t>1 周</w:t>
            </w:r>
          </w:p>
        </w:tc>
        <w:tc>
          <w:tcPr>
            <w:tcW w:type="dxa" w:w="1345"/>
          </w:tcPr>
          <w:p>
            <w:pPr>
              <w:jc w:val="left"/>
            </w:pPr>
            <w:r>
              <w:rPr>
                <w:rFonts w:ascii="SimSun" w:hAnsi="SimSun"/>
                <w:b w:val="0"/>
                <w:i w:val="0"/>
                <w:color w:val="000000"/>
                <w:sz w:val="16"/>
                <w:rFonts w:ascii="SimSun" w:hAnsi="SimSun" w:eastAsia="SimSun"/>
              </w:rPr>
              <w:t>345.0 (100.0%)</w:t>
            </w:r>
          </w:p>
        </w:tc>
        <w:tc>
          <w:tcPr>
            <w:tcW w:type="dxa" w:w="1345"/>
          </w:tcPr>
          <w:p>
            <w:pPr>
              <w:jc w:val="left"/>
            </w:pPr>
            <w:r>
              <w:rPr>
                <w:rFonts w:ascii="SimSun" w:hAnsi="SimSun"/>
                <w:b w:val="0"/>
                <w:i w:val="0"/>
                <w:color w:val="000000"/>
                <w:sz w:val="16"/>
                <w:rFonts w:ascii="SimSun" w:hAnsi="SimSun" w:eastAsia="SimSun"/>
              </w:rPr>
              <w:t>2.33 (0.68%)</w:t>
            </w:r>
          </w:p>
        </w:tc>
        <w:tc>
          <w:tcPr>
            <w:tcW w:type="dxa" w:w="1345"/>
          </w:tcPr>
          <w:p>
            <w:pPr>
              <w:jc w:val="left"/>
            </w:pPr>
            <w:r>
              <w:rPr>
                <w:rFonts w:ascii="SimSun" w:hAnsi="SimSun"/>
                <w:b w:val="0"/>
                <w:i w:val="0"/>
                <w:color w:val="000000"/>
                <w:sz w:val="16"/>
                <w:rFonts w:ascii="SimSun" w:hAnsi="SimSun" w:eastAsia="SimSun"/>
              </w:rPr>
              <w:t>7.30 (2.12%)</w:t>
            </w:r>
          </w:p>
        </w:tc>
        <w:tc>
          <w:tcPr>
            <w:tcW w:type="dxa" w:w="1345"/>
          </w:tcPr>
          <w:p>
            <w:pPr>
              <w:jc w:val="left"/>
            </w:pPr>
            <w:r>
              <w:rPr>
                <w:rFonts w:ascii="SimSun" w:hAnsi="SimSun"/>
                <w:b w:val="0"/>
                <w:i w:val="0"/>
                <w:color w:val="000000"/>
                <w:sz w:val="16"/>
                <w:rFonts w:ascii="SimSun" w:hAnsi="SimSun" w:eastAsia="SimSun"/>
              </w:rPr>
              <w:t>15.52 (4.50%)</w:t>
            </w:r>
          </w:p>
        </w:tc>
        <w:tc>
          <w:tcPr>
            <w:tcW w:type="dxa" w:w="1345"/>
          </w:tcPr>
          <w:p>
            <w:pPr>
              <w:jc w:val="left"/>
            </w:pPr>
            <w:r>
              <w:rPr>
                <w:rFonts w:ascii="SimSun" w:hAnsi="SimSun"/>
                <w:b w:val="0"/>
                <w:i w:val="0"/>
                <w:color w:val="000000"/>
                <w:sz w:val="16"/>
                <w:rFonts w:ascii="SimSun" w:hAnsi="SimSun" w:eastAsia="SimSun"/>
              </w:rPr>
              <w:t>319.8 (92.71%)</w:t>
            </w:r>
          </w:p>
        </w:tc>
      </w:tr>
      <w:tr>
        <w:tc>
          <w:tcPr>
            <w:tcW w:type="dxa" w:w="1345"/>
          </w:tcPr>
          <w:p>
            <w:pPr>
              <w:jc w:val="left"/>
            </w:pPr>
            <w:r>
              <w:rPr>
                <w:rFonts w:ascii="SimSun" w:hAnsi="SimSun"/>
                <w:b w:val="0"/>
                <w:i w:val="0"/>
                <w:color w:val="000000"/>
                <w:sz w:val="16"/>
                <w:rFonts w:ascii="SimSun" w:hAnsi="SimSun" w:eastAsia="SimSun"/>
              </w:rPr>
              <w:t>流感 2022–23 暴发早期</w:t>
            </w:r>
          </w:p>
        </w:tc>
        <w:tc>
          <w:tcPr>
            <w:tcW w:type="dxa" w:w="1345"/>
          </w:tcPr>
          <w:p>
            <w:pPr>
              <w:jc w:val="center"/>
            </w:pPr>
            <w:r>
              <w:rPr>
                <w:rFonts w:ascii="SimSun" w:hAnsi="SimSun"/>
                <w:b w:val="0"/>
                <w:i w:val="0"/>
                <w:color w:val="000000"/>
                <w:sz w:val="16"/>
                <w:rFonts w:ascii="SimSun" w:hAnsi="SimSun" w:eastAsia="SimSun"/>
              </w:rPr>
              <w:t>4 周</w:t>
            </w:r>
          </w:p>
        </w:tc>
        <w:tc>
          <w:tcPr>
            <w:tcW w:type="dxa" w:w="1345"/>
          </w:tcPr>
          <w:p>
            <w:pPr>
              <w:jc w:val="left"/>
            </w:pPr>
            <w:r>
              <w:rPr>
                <w:rFonts w:ascii="SimSun" w:hAnsi="SimSun"/>
                <w:b w:val="0"/>
                <w:i w:val="0"/>
                <w:color w:val="000000"/>
                <w:sz w:val="16"/>
                <w:rFonts w:ascii="SimSun" w:hAnsi="SimSun" w:eastAsia="SimSun"/>
              </w:rPr>
              <w:t>1420.0 (100.0%)</w:t>
            </w:r>
          </w:p>
        </w:tc>
        <w:tc>
          <w:tcPr>
            <w:tcW w:type="dxa" w:w="1345"/>
          </w:tcPr>
          <w:p>
            <w:pPr>
              <w:jc w:val="left"/>
            </w:pPr>
            <w:r>
              <w:rPr>
                <w:rFonts w:ascii="SimSun" w:hAnsi="SimSun"/>
                <w:b w:val="0"/>
                <w:i w:val="0"/>
                <w:color w:val="000000"/>
                <w:sz w:val="16"/>
                <w:rFonts w:ascii="SimSun" w:hAnsi="SimSun" w:eastAsia="SimSun"/>
              </w:rPr>
              <w:t>5.98 (0.42%)</w:t>
            </w:r>
          </w:p>
        </w:tc>
        <w:tc>
          <w:tcPr>
            <w:tcW w:type="dxa" w:w="1345"/>
          </w:tcPr>
          <w:p>
            <w:pPr>
              <w:jc w:val="left"/>
            </w:pPr>
            <w:r>
              <w:rPr>
                <w:rFonts w:ascii="SimSun" w:hAnsi="SimSun"/>
                <w:b w:val="0"/>
                <w:i w:val="0"/>
                <w:color w:val="000000"/>
                <w:sz w:val="16"/>
                <w:rFonts w:ascii="SimSun" w:hAnsi="SimSun" w:eastAsia="SimSun"/>
              </w:rPr>
              <w:t>29.20 (2.06%)</w:t>
            </w:r>
          </w:p>
        </w:tc>
        <w:tc>
          <w:tcPr>
            <w:tcW w:type="dxa" w:w="1345"/>
          </w:tcPr>
          <w:p>
            <w:pPr>
              <w:jc w:val="left"/>
            </w:pPr>
            <w:r>
              <w:rPr>
                <w:rFonts w:ascii="SimSun" w:hAnsi="SimSun"/>
                <w:b w:val="0"/>
                <w:i w:val="0"/>
                <w:color w:val="000000"/>
                <w:sz w:val="16"/>
                <w:rFonts w:ascii="SimSun" w:hAnsi="SimSun" w:eastAsia="SimSun"/>
              </w:rPr>
              <w:t>248.34 (17.49%)</w:t>
            </w:r>
          </w:p>
        </w:tc>
        <w:tc>
          <w:tcPr>
            <w:tcW w:type="dxa" w:w="1345"/>
          </w:tcPr>
          <w:p>
            <w:pPr>
              <w:jc w:val="left"/>
            </w:pPr>
            <w:r>
              <w:rPr>
                <w:rFonts w:ascii="SimSun" w:hAnsi="SimSun"/>
                <w:b w:val="0"/>
                <w:i w:val="0"/>
                <w:color w:val="000000"/>
                <w:sz w:val="16"/>
                <w:rFonts w:ascii="SimSun" w:hAnsi="SimSun" w:eastAsia="SimSun"/>
              </w:rPr>
              <w:t>1136.5 (80.03%)</w:t>
            </w:r>
          </w:p>
        </w:tc>
      </w:tr>
    </w:tbl>
    <w:p>
      <w:pPr>
        <w:spacing w:before="80" w:after="40" w:line="288" w:lineRule="auto"/>
        <w:jc w:val="center"/>
      </w:pPr>
      <w:r>
        <w:rPr>
          <w:rFonts w:ascii="SimHei" w:hAnsi="SimHei"/>
          <w:b/>
          <w:i w:val="0"/>
          <w:color w:val="000000"/>
          <w:sz w:val="19"/>
          <w:rFonts w:ascii="SimHei" w:hAnsi="SimHei" w:eastAsia="SimHei"/>
        </w:rPr>
        <w:t>表 3  三大呼吸道传染病实证预测误差四项正交闭合分解（绝对值 × 10^(-4) 与方差百分比）</w:t>
      </w:r>
    </w:p>
    <w:p>
      <w:pPr>
        <w:spacing w:before="0" w:after="160" w:line="288" w:lineRule="auto"/>
        <w:jc w:val="left"/>
      </w:pPr>
      <w:r>
        <w:rPr>
          <w:rFonts w:ascii="SimSun" w:hAnsi="SimSun"/>
          <w:b w:val="0"/>
          <w:i/>
          <w:color w:val="000000"/>
          <w:sz w:val="16"/>
          <w:rFonts w:ascii="SimSun" w:hAnsi="SimSun" w:eastAsia="SimSun"/>
        </w:rPr>
        <w:t>注：各项数值绝对值统一放大 10^4 倍呈现，括号内标注方差贡献百分比。各行百分比加总严格闭合为 100.0%。实测评估基于连续 M = 5 个前瞻预测原点，M = 5 原点间的误差变异系数在各病原体中介于 12.4% ~ 24.8%。</w:t>
      </w:r>
    </w:p>
    <w:p>
      <w:pPr>
        <w:spacing w:before="200" w:after="80" w:line="288" w:lineRule="auto"/>
        <w:jc w:val="left"/>
      </w:pPr>
      <w:r>
        <w:rPr>
          <w:rFonts w:ascii="SimHei" w:hAnsi="SimHei"/>
          <w:b/>
          <w:i w:val="0"/>
          <w:color w:val="000000"/>
          <w:sz w:val="24"/>
          <w:rFonts w:ascii="SimHei" w:hAnsi="SimHei" w:eastAsia="SimHei"/>
        </w:rPr>
        <w:t>4.3  多层级判据体系的澄清与伪实时回测</w:t>
      </w:r>
    </w:p>
    <w:p>
      <w:pPr>
        <w:spacing w:before="0" w:after="60" w:line="288" w:lineRule="auto"/>
        <w:ind w:firstLine="420"/>
        <w:jc w:val="left"/>
      </w:pPr>
      <w:r>
        <w:rPr>
          <w:rFonts w:ascii="SimSun" w:hAnsi="SimSun"/>
          <w:b w:val="0"/>
          <w:i w:val="0"/>
          <w:color w:val="000000"/>
          <w:sz w:val="21"/>
          <w:rFonts w:ascii="SimSun" w:hAnsi="SimSun" w:eastAsia="SimSun"/>
        </w:rPr>
        <w:t>本文所建立的评价体系包含三个具有不同决策意义的层级尺度：</w:t>
      </w:r>
    </w:p>
    <w:p>
      <w:pPr>
        <w:spacing w:before="0" w:after="60" w:line="288" w:lineRule="auto"/>
        <w:ind w:firstLine="420"/>
        <w:jc w:val="left"/>
      </w:pPr>
      <w:r>
        <w:rPr>
          <w:rFonts w:ascii="SimSun" w:hAnsi="SimSun"/>
          <w:b w:val="0"/>
          <w:i w:val="0"/>
          <w:color w:val="000000"/>
          <w:sz w:val="21"/>
          <w:rFonts w:ascii="SimSun" w:hAnsi="SimSun" w:eastAsia="SimSun"/>
        </w:rPr>
        <w:t>1. 理论机理视界上限（h* = 2.9–13.5 周，95% CI 并集 1.8–20.0 周）：基于纯内生微观随机性与参数方差，在绝对容忍度 relMSE &lt;= tau = 0.5 下解出的物理天花板；</w:t>
      </w:r>
    </w:p>
    <w:p>
      <w:pPr>
        <w:spacing w:before="0" w:after="60" w:line="288" w:lineRule="auto"/>
        <w:ind w:firstLine="420"/>
        <w:jc w:val="left"/>
      </w:pPr>
      <w:r>
        <w:rPr>
          <w:rFonts w:ascii="SimSun" w:hAnsi="SimSun"/>
          <w:b w:val="0"/>
          <w:i w:val="0"/>
          <w:color w:val="000000"/>
          <w:sz w:val="21"/>
          <w:rFonts w:ascii="SimSun" w:hAnsi="SimSun" w:eastAsia="SimSun"/>
        </w:rPr>
        <w:t>2. 实测绝对误差视界（h*_obs 约 7.0–10.1 周）：在吸收了现实监测中占比 80.0%–96.1% 的外生未建模残差后，由表 3 实测总误差曲线拟合外推至 relMSE &lt;= tau = 0.5 门槛所对应的预测跨度（Delta 9.0 周，流感 7.0 周，RSV 8.9 与 10.1 周）；表明只要容许 50% 的相对误差，机制模型在前瞻 7–10 周内依然处于可接受包络内；</w:t>
      </w:r>
    </w:p>
    <w:p>
      <w:pPr>
        <w:spacing w:before="0" w:after="60" w:line="288" w:lineRule="auto"/>
        <w:ind w:firstLine="420"/>
        <w:jc w:val="left"/>
      </w:pPr>
      <w:r>
        <w:rPr>
          <w:rFonts w:ascii="SimSun" w:hAnsi="SimSun"/>
          <w:b w:val="0"/>
          <w:i w:val="0"/>
          <w:color w:val="000000"/>
          <w:sz w:val="21"/>
          <w:rFonts w:ascii="SimSun" w:hAnsi="SimSun" w:eastAsia="SimSun"/>
        </w:rPr>
        <w:t>3. 相对基线预测技能视界（h_skill 约 1–4 周）：在与公共卫生标准基准——朴素持续性外推基线（hat Z_(t+h) = Z_t）的直接对抗中，机制模型在 h 约 3.8–4.6 周处技能比穿过 1.0 发生反转。这一反转并不意味着机制模型误差奇异发散，而是因为在多周跨度后，疫情整体往往进入平稳平台期，朴素基线自身的绝对误差亦随之降低，从而在相对竞技口径下抹平了机制模型的边际收益。</w:t>
      </w:r>
    </w:p>
    <w:p>
      <w:pPr>
        <w:spacing w:before="0" w:after="60" w:line="288" w:lineRule="auto"/>
        <w:ind w:firstLine="420"/>
        <w:jc w:val="left"/>
      </w:pPr>
      <w:r>
        <w:rPr>
          <w:rFonts w:ascii="SimSun" w:hAnsi="SimSun"/>
          <w:b w:val="0"/>
          <w:i w:val="0"/>
          <w:color w:val="000000"/>
          <w:sz w:val="21"/>
          <w:rFonts w:ascii="SimSun" w:hAnsi="SimSun" w:eastAsia="SimSun"/>
        </w:rPr>
        <w:t>此外，伪实时评估基于已固化的最终版本序列（Finalized Vintage），消除了初报数据中的回填补报与修订噪声，因此 3.8–4.6 周构成了理想数据流下的“乐观技能上限”；在真实初报业务中，未固化噪声将进一步向内压缩业务预测技能窗口。</w:t>
      </w:r>
    </w:p>
    <w:p>
      <w:pPr>
        <w:spacing w:before="280" w:after="120" w:line="288" w:lineRule="auto"/>
        <w:jc w:val="left"/>
      </w:pPr>
      <w:r>
        <w:rPr>
          <w:rFonts w:ascii="SimHei" w:hAnsi="SimHei"/>
          <w:b/>
          <w:i w:val="0"/>
          <w:color w:val="000000"/>
          <w:sz w:val="28"/>
          <w:rFonts w:ascii="SimHei" w:hAnsi="SimHei" w:eastAsia="SimHei"/>
        </w:rPr>
        <w:t>5  讨论与公共卫生启示</w:t>
      </w:r>
    </w:p>
    <w:p>
      <w:pPr>
        <w:spacing w:before="200" w:after="80" w:line="288" w:lineRule="auto"/>
        <w:jc w:val="left"/>
      </w:pPr>
      <w:r>
        <w:rPr>
          <w:rFonts w:ascii="SimHei" w:hAnsi="SimHei"/>
          <w:b/>
          <w:i w:val="0"/>
          <w:color w:val="000000"/>
          <w:sz w:val="24"/>
          <w:rFonts w:ascii="SimHei" w:hAnsi="SimHei" w:eastAsia="SimHei"/>
        </w:rPr>
        <w:t>5.1  多病原体全场景误差容忍度与理论预测视界精确映射</w:t>
      </w:r>
    </w:p>
    <w:p>
      <w:pPr>
        <w:spacing w:before="0" w:after="60" w:line="288" w:lineRule="auto"/>
        <w:ind w:firstLine="420"/>
        <w:jc w:val="left"/>
      </w:pPr>
      <w:r>
        <w:rPr>
          <w:rFonts w:ascii="SimSun" w:hAnsi="SimSun"/>
          <w:b w:val="0"/>
          <w:i w:val="0"/>
          <w:color w:val="000000"/>
          <w:sz w:val="21"/>
          <w:rFonts w:ascii="SimSun" w:hAnsi="SimSun" w:eastAsia="SimSun"/>
        </w:rPr>
        <w:t>将理论可预测视界应用于公共卫生实践，关键在于将抽象的误差容忍度 tau 转化为具体的应对决策需求。不同公卫决策行动的筹备周期、启动成本及误报/漏报代价存在巨大差异，因而对预测误差的容忍程度截然不同。表 4 系统构建了七大阶段在四档误差容忍度下的完整 7 × 4 映射矩阵与分级决策指南。</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70"/>
        <w:gridCol w:w="1570"/>
        <w:gridCol w:w="1570"/>
        <w:gridCol w:w="1570"/>
        <w:gridCol w:w="1570"/>
        <w:gridCol w:w="1570"/>
      </w:tblGrid>
      <w:tr>
        <w:tc>
          <w:tcPr>
            <w:tcW w:type="dxa" w:w="1570"/>
            <w:tcBorders>
              <w:bottom w:val="single" w:sz="6" w:space="0" w:color="000000"/>
            </w:tcBorders>
          </w:tcPr>
          <w:p>
            <w:pPr>
              <w:jc w:val="center"/>
            </w:pPr>
            <w:r>
              <w:rPr>
                <w:rFonts w:ascii="SimHei" w:hAnsi="SimHei"/>
                <w:b/>
                <w:i w:val="0"/>
                <w:color w:val="000000"/>
                <w:sz w:val="17"/>
                <w:rFonts w:ascii="SimHei" w:hAnsi="SimHei" w:eastAsia="SimHei"/>
              </w:rPr>
              <w:t>流行波次 / 决策场景</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0.20 (刚性生命线)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0.35 (资源调配线)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0.50 (群体干预线)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τ = 0.70 (战略规划线)</w:t>
            </w:r>
          </w:p>
        </w:tc>
        <w:tc>
          <w:tcPr>
            <w:tcW w:type="dxa" w:w="1570"/>
            <w:tcBorders>
              <w:bottom w:val="single" w:sz="6" w:space="0" w:color="000000"/>
            </w:tcBorders>
          </w:tcPr>
          <w:p>
            <w:pPr>
              <w:jc w:val="center"/>
            </w:pPr>
            <w:r>
              <w:rPr>
                <w:rFonts w:ascii="SimHei" w:hAnsi="SimHei"/>
                <w:b/>
                <w:i w:val="0"/>
                <w:color w:val="000000"/>
                <w:sz w:val="17"/>
                <w:rFonts w:ascii="SimHei" w:hAnsi="SimHei" w:eastAsia="SimHei"/>
              </w:rPr>
              <w:t>推荐业务预测与公共卫生风控策略</w:t>
            </w:r>
          </w:p>
        </w:tc>
      </w:tr>
      <w:tr>
        <w:tc>
          <w:tcPr>
            <w:tcW w:type="dxa" w:w="1570"/>
          </w:tcPr>
          <w:p>
            <w:pPr>
              <w:jc w:val="left"/>
            </w:pPr>
            <w:r>
              <w:rPr>
                <w:rFonts w:ascii="SimSun" w:hAnsi="SimSun"/>
                <w:b w:val="0"/>
                <w:i w:val="0"/>
                <w:color w:val="000000"/>
                <w:sz w:val="16"/>
                <w:rFonts w:ascii="SimSun" w:hAnsi="SimSun" w:eastAsia="SimSun"/>
              </w:rPr>
              <w:t>COVID-19 Delta 暴发期</w:t>
            </w:r>
          </w:p>
        </w:tc>
        <w:tc>
          <w:tcPr>
            <w:tcW w:type="dxa" w:w="1570"/>
          </w:tcPr>
          <w:p>
            <w:pPr>
              <w:jc w:val="center"/>
            </w:pPr>
            <w:r>
              <w:rPr>
                <w:rFonts w:ascii="SimSun" w:hAnsi="SimSun"/>
                <w:b w:val="0"/>
                <w:i w:val="0"/>
                <w:color w:val="000000"/>
                <w:sz w:val="16"/>
                <w:rFonts w:ascii="SimSun" w:hAnsi="SimSun" w:eastAsia="SimSun"/>
              </w:rPr>
              <w:t>6.0 周 (9.0 代)</w:t>
            </w:r>
          </w:p>
        </w:tc>
        <w:tc>
          <w:tcPr>
            <w:tcW w:type="dxa" w:w="1570"/>
          </w:tcPr>
          <w:p>
            <w:pPr>
              <w:jc w:val="center"/>
            </w:pPr>
            <w:r>
              <w:rPr>
                <w:rFonts w:ascii="SimSun" w:hAnsi="SimSun"/>
                <w:b w:val="0"/>
                <w:i w:val="0"/>
                <w:color w:val="000000"/>
                <w:sz w:val="16"/>
                <w:rFonts w:ascii="SimSun" w:hAnsi="SimSun" w:eastAsia="SimSun"/>
              </w:rPr>
              <w:t>10.1 周 (15.0 代)</w:t>
            </w:r>
          </w:p>
        </w:tc>
        <w:tc>
          <w:tcPr>
            <w:tcW w:type="dxa" w:w="1570"/>
          </w:tcPr>
          <w:p>
            <w:pPr>
              <w:jc w:val="center"/>
            </w:pPr>
            <w:r>
              <w:rPr>
                <w:rFonts w:ascii="SimSun" w:hAnsi="SimSun"/>
                <w:b w:val="0"/>
                <w:i w:val="0"/>
                <w:color w:val="000000"/>
                <w:sz w:val="16"/>
                <w:rFonts w:ascii="SimSun" w:hAnsi="SimSun" w:eastAsia="SimSun"/>
              </w:rPr>
              <w:t>13.5 周 (20.1 代)</w:t>
            </w:r>
          </w:p>
        </w:tc>
        <w:tc>
          <w:tcPr>
            <w:tcW w:type="dxa" w:w="1570"/>
          </w:tcPr>
          <w:p>
            <w:pPr>
              <w:jc w:val="center"/>
            </w:pPr>
            <w:r>
              <w:rPr>
                <w:rFonts w:ascii="SimSun" w:hAnsi="SimSun"/>
                <w:b w:val="0"/>
                <w:i w:val="0"/>
                <w:color w:val="000000"/>
                <w:sz w:val="16"/>
                <w:rFonts w:ascii="SimSun" w:hAnsi="SimSun" w:eastAsia="SimSun"/>
              </w:rPr>
              <w:t>17.2 周 (25.6 代)</w:t>
            </w:r>
          </w:p>
        </w:tc>
        <w:tc>
          <w:tcPr>
            <w:tcW w:type="dxa" w:w="1570"/>
          </w:tcPr>
          <w:p>
            <w:pPr>
              <w:jc w:val="left"/>
            </w:pPr>
            <w:r>
              <w:rPr>
                <w:rFonts w:ascii="SimSun" w:hAnsi="SimSun"/>
                <w:b w:val="0"/>
                <w:i w:val="0"/>
                <w:color w:val="000000"/>
                <w:sz w:val="16"/>
                <w:rFonts w:ascii="SimSun" w:hAnsi="SimSun" w:eastAsia="SimSun"/>
              </w:rPr>
              <w:t>低离散度波次，中长程外推平稳；采用集合预测中位数推进梯次床位筹备。</w:t>
            </w:r>
          </w:p>
        </w:tc>
      </w:tr>
      <w:tr>
        <w:tc>
          <w:tcPr>
            <w:tcW w:type="dxa" w:w="1570"/>
          </w:tcPr>
          <w:p>
            <w:pPr>
              <w:jc w:val="left"/>
            </w:pPr>
            <w:r>
              <w:rPr>
                <w:rFonts w:ascii="SimSun" w:hAnsi="SimSun"/>
                <w:b w:val="0"/>
                <w:i w:val="0"/>
                <w:color w:val="000000"/>
                <w:sz w:val="16"/>
                <w:rFonts w:ascii="SimSun" w:hAnsi="SimSun" w:eastAsia="SimSun"/>
              </w:rPr>
              <w:t>COVID-19 Omicron 达峰期</w:t>
            </w:r>
          </w:p>
        </w:tc>
        <w:tc>
          <w:tcPr>
            <w:tcW w:type="dxa" w:w="1570"/>
          </w:tcPr>
          <w:p>
            <w:pPr>
              <w:jc w:val="center"/>
            </w:pPr>
            <w:r>
              <w:rPr>
                <w:rFonts w:ascii="SimSun" w:hAnsi="SimSun"/>
                <w:b w:val="0"/>
                <w:i w:val="0"/>
                <w:color w:val="000000"/>
                <w:sz w:val="16"/>
                <w:rFonts w:ascii="SimSun" w:hAnsi="SimSun" w:eastAsia="SimSun"/>
              </w:rPr>
              <w:t>1.3 周 (3.0 代)</w:t>
            </w:r>
          </w:p>
        </w:tc>
        <w:tc>
          <w:tcPr>
            <w:tcW w:type="dxa" w:w="1570"/>
          </w:tcPr>
          <w:p>
            <w:pPr>
              <w:jc w:val="center"/>
            </w:pPr>
            <w:r>
              <w:rPr>
                <w:rFonts w:ascii="SimSun" w:hAnsi="SimSun"/>
                <w:b w:val="0"/>
                <w:i w:val="0"/>
                <w:color w:val="000000"/>
                <w:sz w:val="16"/>
                <w:rFonts w:ascii="SimSun" w:hAnsi="SimSun" w:eastAsia="SimSun"/>
              </w:rPr>
              <w:t>2.2 周 (5.1 代)</w:t>
            </w:r>
          </w:p>
        </w:tc>
        <w:tc>
          <w:tcPr>
            <w:tcW w:type="dxa" w:w="1570"/>
          </w:tcPr>
          <w:p>
            <w:pPr>
              <w:jc w:val="center"/>
            </w:pPr>
            <w:r>
              <w:rPr>
                <w:rFonts w:ascii="SimSun" w:hAnsi="SimSun"/>
                <w:b w:val="0"/>
                <w:i w:val="0"/>
                <w:color w:val="000000"/>
                <w:sz w:val="16"/>
                <w:rFonts w:ascii="SimSun" w:hAnsi="SimSun" w:eastAsia="SimSun"/>
              </w:rPr>
              <w:t>2.9 周 (6.8 代)</w:t>
            </w:r>
          </w:p>
        </w:tc>
        <w:tc>
          <w:tcPr>
            <w:tcW w:type="dxa" w:w="1570"/>
          </w:tcPr>
          <w:p>
            <w:pPr>
              <w:jc w:val="center"/>
            </w:pPr>
            <w:r>
              <w:rPr>
                <w:rFonts w:ascii="SimSun" w:hAnsi="SimSun"/>
                <w:b w:val="0"/>
                <w:i w:val="0"/>
                <w:color w:val="000000"/>
                <w:sz w:val="16"/>
                <w:rFonts w:ascii="SimSun" w:hAnsi="SimSun" w:eastAsia="SimSun"/>
              </w:rPr>
              <w:t>3.8 周 (8.8 代)</w:t>
            </w:r>
          </w:p>
        </w:tc>
        <w:tc>
          <w:tcPr>
            <w:tcW w:type="dxa" w:w="1570"/>
          </w:tcPr>
          <w:p>
            <w:pPr>
              <w:jc w:val="left"/>
            </w:pPr>
            <w:r>
              <w:rPr>
                <w:rFonts w:ascii="SimSun" w:hAnsi="SimSun"/>
                <w:b w:val="0"/>
                <w:i w:val="0"/>
                <w:color w:val="000000"/>
                <w:sz w:val="16"/>
                <w:rFonts w:ascii="SimSun" w:hAnsi="SimSun" w:eastAsia="SimSun"/>
              </w:rPr>
              <w:t>高传播超分散株，视界极度收缩；严控长程外推，实行见转折即报警的敏捷应急机制。</w:t>
            </w:r>
          </w:p>
        </w:tc>
      </w:tr>
      <w:tr>
        <w:tc>
          <w:tcPr>
            <w:tcW w:type="dxa" w:w="1570"/>
          </w:tcPr>
          <w:p>
            <w:pPr>
              <w:jc w:val="left"/>
            </w:pPr>
            <w:r>
              <w:rPr>
                <w:rFonts w:ascii="SimSun" w:hAnsi="SimSun"/>
                <w:b w:val="0"/>
                <w:i w:val="0"/>
                <w:color w:val="000000"/>
                <w:sz w:val="16"/>
                <w:rFonts w:ascii="SimSun" w:hAnsi="SimSun" w:eastAsia="SimSun"/>
              </w:rPr>
              <w:t>COVID-19 JN.1 流行期</w:t>
            </w:r>
          </w:p>
        </w:tc>
        <w:tc>
          <w:tcPr>
            <w:tcW w:type="dxa" w:w="1570"/>
          </w:tcPr>
          <w:p>
            <w:pPr>
              <w:jc w:val="center"/>
            </w:pPr>
            <w:r>
              <w:rPr>
                <w:rFonts w:ascii="SimSun" w:hAnsi="SimSun"/>
                <w:b w:val="0"/>
                <w:i w:val="0"/>
                <w:color w:val="000000"/>
                <w:sz w:val="16"/>
                <w:rFonts w:ascii="SimSun" w:hAnsi="SimSun" w:eastAsia="SimSun"/>
              </w:rPr>
              <w:t>1.9 周 (3.7 代)</w:t>
            </w:r>
          </w:p>
        </w:tc>
        <w:tc>
          <w:tcPr>
            <w:tcW w:type="dxa" w:w="1570"/>
          </w:tcPr>
          <w:p>
            <w:pPr>
              <w:jc w:val="center"/>
            </w:pPr>
            <w:r>
              <w:rPr>
                <w:rFonts w:ascii="SimSun" w:hAnsi="SimSun"/>
                <w:b w:val="0"/>
                <w:i w:val="0"/>
                <w:color w:val="000000"/>
                <w:sz w:val="16"/>
                <w:rFonts w:ascii="SimSun" w:hAnsi="SimSun" w:eastAsia="SimSun"/>
              </w:rPr>
              <w:t>3.1 周 (6.2 代)</w:t>
            </w:r>
          </w:p>
        </w:tc>
        <w:tc>
          <w:tcPr>
            <w:tcW w:type="dxa" w:w="1570"/>
          </w:tcPr>
          <w:p>
            <w:pPr>
              <w:jc w:val="center"/>
            </w:pPr>
            <w:r>
              <w:rPr>
                <w:rFonts w:ascii="SimSun" w:hAnsi="SimSun"/>
                <w:b w:val="0"/>
                <w:i w:val="0"/>
                <w:color w:val="000000"/>
                <w:sz w:val="16"/>
                <w:rFonts w:ascii="SimSun" w:hAnsi="SimSun" w:eastAsia="SimSun"/>
              </w:rPr>
              <w:t>4.2 周 (8.4 代)</w:t>
            </w:r>
          </w:p>
        </w:tc>
        <w:tc>
          <w:tcPr>
            <w:tcW w:type="dxa" w:w="1570"/>
          </w:tcPr>
          <w:p>
            <w:pPr>
              <w:jc w:val="center"/>
            </w:pPr>
            <w:r>
              <w:rPr>
                <w:rFonts w:ascii="SimSun" w:hAnsi="SimSun"/>
                <w:b w:val="0"/>
                <w:i w:val="0"/>
                <w:color w:val="000000"/>
                <w:sz w:val="16"/>
                <w:rFonts w:ascii="SimSun" w:hAnsi="SimSun" w:eastAsia="SimSun"/>
              </w:rPr>
              <w:t>5.4 周 (10.8 代)</w:t>
            </w:r>
          </w:p>
        </w:tc>
        <w:tc>
          <w:tcPr>
            <w:tcW w:type="dxa" w:w="1570"/>
          </w:tcPr>
          <w:p>
            <w:pPr>
              <w:jc w:val="left"/>
            </w:pPr>
            <w:r>
              <w:rPr>
                <w:rFonts w:ascii="SimSun" w:hAnsi="SimSun"/>
                <w:b w:val="0"/>
                <w:i w:val="0"/>
                <w:color w:val="000000"/>
                <w:sz w:val="16"/>
                <w:rFonts w:ascii="SimSun" w:hAnsi="SimSun" w:eastAsia="SimSun"/>
              </w:rPr>
              <w:t>亚临界平缓爬坡期；聚焦 2–4 周内抗病毒药物分发与易感高危人群重点防护。</w:t>
            </w:r>
          </w:p>
        </w:tc>
      </w:tr>
      <w:tr>
        <w:tc>
          <w:tcPr>
            <w:tcW w:type="dxa" w:w="1570"/>
          </w:tcPr>
          <w:p>
            <w:pPr>
              <w:jc w:val="left"/>
            </w:pPr>
            <w:r>
              <w:rPr>
                <w:rFonts w:ascii="SimSun" w:hAnsi="SimSun"/>
                <w:b w:val="0"/>
                <w:i w:val="0"/>
                <w:color w:val="000000"/>
                <w:sz w:val="16"/>
                <w:rFonts w:ascii="SimSun" w:hAnsi="SimSun" w:eastAsia="SimSun"/>
              </w:rPr>
              <w:t>流感 2022–23 暴发早期</w:t>
            </w:r>
          </w:p>
        </w:tc>
        <w:tc>
          <w:tcPr>
            <w:tcW w:type="dxa" w:w="1570"/>
          </w:tcPr>
          <w:p>
            <w:pPr>
              <w:jc w:val="center"/>
            </w:pPr>
            <w:r>
              <w:rPr>
                <w:rFonts w:ascii="SimSun" w:hAnsi="SimSun"/>
                <w:b w:val="0"/>
                <w:i w:val="0"/>
                <w:color w:val="000000"/>
                <w:sz w:val="16"/>
                <w:rFonts w:ascii="SimSun" w:hAnsi="SimSun" w:eastAsia="SimSun"/>
              </w:rPr>
              <w:t>2.3 周 (4.9 代)</w:t>
            </w:r>
          </w:p>
        </w:tc>
        <w:tc>
          <w:tcPr>
            <w:tcW w:type="dxa" w:w="1570"/>
          </w:tcPr>
          <w:p>
            <w:pPr>
              <w:jc w:val="center"/>
            </w:pPr>
            <w:r>
              <w:rPr>
                <w:rFonts w:ascii="SimSun" w:hAnsi="SimSun"/>
                <w:b w:val="0"/>
                <w:i w:val="0"/>
                <w:color w:val="000000"/>
                <w:sz w:val="16"/>
                <w:rFonts w:ascii="SimSun" w:hAnsi="SimSun" w:eastAsia="SimSun"/>
              </w:rPr>
              <w:t>3.8 周 (8.3 代)</w:t>
            </w:r>
          </w:p>
        </w:tc>
        <w:tc>
          <w:tcPr>
            <w:tcW w:type="dxa" w:w="1570"/>
          </w:tcPr>
          <w:p>
            <w:pPr>
              <w:jc w:val="center"/>
            </w:pPr>
            <w:r>
              <w:rPr>
                <w:rFonts w:ascii="SimSun" w:hAnsi="SimSun"/>
                <w:b w:val="0"/>
                <w:i w:val="0"/>
                <w:color w:val="000000"/>
                <w:sz w:val="16"/>
                <w:rFonts w:ascii="SimSun" w:hAnsi="SimSun" w:eastAsia="SimSun"/>
              </w:rPr>
              <w:t>5.1 周 (11.2 代)</w:t>
            </w:r>
          </w:p>
        </w:tc>
        <w:tc>
          <w:tcPr>
            <w:tcW w:type="dxa" w:w="1570"/>
          </w:tcPr>
          <w:p>
            <w:pPr>
              <w:jc w:val="center"/>
            </w:pPr>
            <w:r>
              <w:rPr>
                <w:rFonts w:ascii="SimSun" w:hAnsi="SimSun"/>
                <w:b w:val="0"/>
                <w:i w:val="0"/>
                <w:color w:val="000000"/>
                <w:sz w:val="16"/>
                <w:rFonts w:ascii="SimSun" w:hAnsi="SimSun" w:eastAsia="SimSun"/>
              </w:rPr>
              <w:t>6.5 周 (14.3 代)</w:t>
            </w:r>
          </w:p>
        </w:tc>
        <w:tc>
          <w:tcPr>
            <w:tcW w:type="dxa" w:w="1570"/>
          </w:tcPr>
          <w:p>
            <w:pPr>
              <w:jc w:val="left"/>
            </w:pPr>
            <w:r>
              <w:rPr>
                <w:rFonts w:ascii="SimSun" w:hAnsi="SimSun"/>
                <w:b w:val="0"/>
                <w:i w:val="0"/>
                <w:color w:val="000000"/>
                <w:sz w:val="16"/>
                <w:rFonts w:ascii="SimSun" w:hAnsi="SimSun" w:eastAsia="SimSun"/>
              </w:rPr>
              <w:t>快速早期爬坡季；在第 2–3 周完成儿科退热药及门急诊医疗运力跨区协同调配。</w:t>
            </w:r>
          </w:p>
        </w:tc>
      </w:tr>
      <w:tr>
        <w:tc>
          <w:tcPr>
            <w:tcW w:type="dxa" w:w="1570"/>
          </w:tcPr>
          <w:p>
            <w:pPr>
              <w:jc w:val="left"/>
            </w:pPr>
            <w:r>
              <w:rPr>
                <w:rFonts w:ascii="SimSun" w:hAnsi="SimSun"/>
                <w:b w:val="0"/>
                <w:i w:val="0"/>
                <w:color w:val="000000"/>
                <w:sz w:val="16"/>
                <w:rFonts w:ascii="SimSun" w:hAnsi="SimSun" w:eastAsia="SimSun"/>
              </w:rPr>
              <w:t>流感 2024–25 流行季</w:t>
            </w:r>
          </w:p>
        </w:tc>
        <w:tc>
          <w:tcPr>
            <w:tcW w:type="dxa" w:w="1570"/>
          </w:tcPr>
          <w:p>
            <w:pPr>
              <w:jc w:val="center"/>
            </w:pPr>
            <w:r>
              <w:rPr>
                <w:rFonts w:ascii="SimSun" w:hAnsi="SimSun"/>
                <w:b w:val="0"/>
                <w:i w:val="0"/>
                <w:color w:val="000000"/>
                <w:sz w:val="16"/>
                <w:rFonts w:ascii="SimSun" w:hAnsi="SimSun" w:eastAsia="SimSun"/>
              </w:rPr>
              <w:t>3.2 周 (7.0 代)</w:t>
            </w:r>
          </w:p>
        </w:tc>
        <w:tc>
          <w:tcPr>
            <w:tcW w:type="dxa" w:w="1570"/>
          </w:tcPr>
          <w:p>
            <w:pPr>
              <w:jc w:val="center"/>
            </w:pPr>
            <w:r>
              <w:rPr>
                <w:rFonts w:ascii="SimSun" w:hAnsi="SimSun"/>
                <w:b w:val="0"/>
                <w:i w:val="0"/>
                <w:color w:val="000000"/>
                <w:sz w:val="16"/>
                <w:rFonts w:ascii="SimSun" w:hAnsi="SimSun" w:eastAsia="SimSun"/>
              </w:rPr>
              <w:t>5.4 周 (11.7 代)</w:t>
            </w:r>
          </w:p>
        </w:tc>
        <w:tc>
          <w:tcPr>
            <w:tcW w:type="dxa" w:w="1570"/>
          </w:tcPr>
          <w:p>
            <w:pPr>
              <w:jc w:val="center"/>
            </w:pPr>
            <w:r>
              <w:rPr>
                <w:rFonts w:ascii="SimSun" w:hAnsi="SimSun"/>
                <w:b w:val="0"/>
                <w:i w:val="0"/>
                <w:color w:val="000000"/>
                <w:sz w:val="16"/>
                <w:rFonts w:ascii="SimSun" w:hAnsi="SimSun" w:eastAsia="SimSun"/>
              </w:rPr>
              <w:t>7.2 周 (15.8 代)</w:t>
            </w:r>
          </w:p>
        </w:tc>
        <w:tc>
          <w:tcPr>
            <w:tcW w:type="dxa" w:w="1570"/>
          </w:tcPr>
          <w:p>
            <w:pPr>
              <w:jc w:val="center"/>
            </w:pPr>
            <w:r>
              <w:rPr>
                <w:rFonts w:ascii="SimSun" w:hAnsi="SimSun"/>
                <w:b w:val="0"/>
                <w:i w:val="0"/>
                <w:color w:val="000000"/>
                <w:sz w:val="16"/>
                <w:rFonts w:ascii="SimSun" w:hAnsi="SimSun" w:eastAsia="SimSun"/>
              </w:rPr>
              <w:t>9.2 周 (20.1 代)</w:t>
            </w:r>
          </w:p>
        </w:tc>
        <w:tc>
          <w:tcPr>
            <w:tcW w:type="dxa" w:w="1570"/>
          </w:tcPr>
          <w:p>
            <w:pPr>
              <w:jc w:val="left"/>
            </w:pPr>
            <w:r>
              <w:rPr>
                <w:rFonts w:ascii="SimSun" w:hAnsi="SimSun"/>
                <w:b w:val="0"/>
                <w:i w:val="0"/>
                <w:color w:val="000000"/>
                <w:sz w:val="16"/>
                <w:rFonts w:ascii="SimSun" w:hAnsi="SimSun" w:eastAsia="SimSun"/>
              </w:rPr>
              <w:t>典型季节性流感波次；匹配 1–2 个月疫苗加强接种与高风险场所聚集管控预警。</w:t>
            </w:r>
          </w:p>
        </w:tc>
      </w:tr>
      <w:tr>
        <w:tc>
          <w:tcPr>
            <w:tcW w:type="dxa" w:w="1570"/>
          </w:tcPr>
          <w:p>
            <w:pPr>
              <w:jc w:val="left"/>
            </w:pPr>
            <w:r>
              <w:rPr>
                <w:rFonts w:ascii="SimSun" w:hAnsi="SimSun"/>
                <w:b w:val="0"/>
                <w:i w:val="0"/>
                <w:color w:val="000000"/>
                <w:sz w:val="16"/>
                <w:rFonts w:ascii="SimSun" w:hAnsi="SimSun" w:eastAsia="SimSun"/>
              </w:rPr>
              <w:t>RSV 2024–25 流行季</w:t>
            </w:r>
          </w:p>
        </w:tc>
        <w:tc>
          <w:tcPr>
            <w:tcW w:type="dxa" w:w="1570"/>
          </w:tcPr>
          <w:p>
            <w:pPr>
              <w:jc w:val="center"/>
            </w:pPr>
            <w:r>
              <w:rPr>
                <w:rFonts w:ascii="SimSun" w:hAnsi="SimSun"/>
                <w:b w:val="0"/>
                <w:i w:val="0"/>
                <w:color w:val="000000"/>
                <w:sz w:val="16"/>
                <w:rFonts w:ascii="SimSun" w:hAnsi="SimSun" w:eastAsia="SimSun"/>
              </w:rPr>
              <w:t>19.6 周 (16.3 代)†</w:t>
            </w:r>
          </w:p>
        </w:tc>
        <w:tc>
          <w:tcPr>
            <w:tcW w:type="dxa" w:w="1570"/>
          </w:tcPr>
          <w:p>
            <w:pPr>
              <w:jc w:val="center"/>
            </w:pPr>
            <w:r>
              <w:rPr>
                <w:rFonts w:ascii="SimSun" w:hAnsi="SimSun"/>
                <w:b w:val="0"/>
                <w:i w:val="0"/>
                <w:color w:val="000000"/>
                <w:sz w:val="16"/>
                <w:rFonts w:ascii="SimSun" w:hAnsi="SimSun" w:eastAsia="SimSun"/>
              </w:rPr>
              <w:t>32.8 周 (27.3 代)†</w:t>
            </w:r>
          </w:p>
        </w:tc>
        <w:tc>
          <w:tcPr>
            <w:tcW w:type="dxa" w:w="1570"/>
          </w:tcPr>
          <w:p>
            <w:pPr>
              <w:jc w:val="center"/>
            </w:pPr>
            <w:r>
              <w:rPr>
                <w:rFonts w:ascii="SimSun" w:hAnsi="SimSun"/>
                <w:b w:val="0"/>
                <w:i w:val="0"/>
                <w:color w:val="000000"/>
                <w:sz w:val="16"/>
                <w:rFonts w:ascii="SimSun" w:hAnsi="SimSun" w:eastAsia="SimSun"/>
              </w:rPr>
              <w:t>43.9 周 (36.6 代)†</w:t>
            </w:r>
          </w:p>
        </w:tc>
        <w:tc>
          <w:tcPr>
            <w:tcW w:type="dxa" w:w="1570"/>
          </w:tcPr>
          <w:p>
            <w:pPr>
              <w:jc w:val="center"/>
            </w:pPr>
            <w:r>
              <w:rPr>
                <w:rFonts w:ascii="SimSun" w:hAnsi="SimSun"/>
                <w:b w:val="0"/>
                <w:i w:val="0"/>
                <w:color w:val="000000"/>
                <w:sz w:val="16"/>
                <w:rFonts w:ascii="SimSun" w:hAnsi="SimSun" w:eastAsia="SimSun"/>
              </w:rPr>
              <w:t>56.1 周 (46.7 代)†</w:t>
            </w:r>
          </w:p>
        </w:tc>
        <w:tc>
          <w:tcPr>
            <w:tcW w:type="dxa" w:w="1570"/>
          </w:tcPr>
          <w:p>
            <w:pPr>
              <w:jc w:val="left"/>
            </w:pPr>
            <w:r>
              <w:rPr>
                <w:rFonts w:ascii="SimSun" w:hAnsi="SimSun"/>
                <w:b w:val="0"/>
                <w:i w:val="0"/>
                <w:color w:val="000000"/>
                <w:sz w:val="16"/>
                <w:rFonts w:ascii="SimSun" w:hAnsi="SimSun" w:eastAsia="SimSun"/>
              </w:rPr>
              <w:t>纯数学外推根显著超出呼吸道自然单流行季跨度（受 16–20 周物理截断约束）；放弃长程点位预报，转向流行季宏观峰值高度与总负荷概率包络评估。</w:t>
            </w:r>
          </w:p>
        </w:tc>
      </w:tr>
      <w:tr>
        <w:tc>
          <w:tcPr>
            <w:tcW w:type="dxa" w:w="1570"/>
          </w:tcPr>
          <w:p>
            <w:pPr>
              <w:jc w:val="left"/>
            </w:pPr>
            <w:r>
              <w:rPr>
                <w:rFonts w:ascii="SimSun" w:hAnsi="SimSun"/>
                <w:b w:val="0"/>
                <w:i w:val="0"/>
                <w:color w:val="000000"/>
                <w:sz w:val="16"/>
                <w:rFonts w:ascii="SimSun" w:hAnsi="SimSun" w:eastAsia="SimSun"/>
              </w:rPr>
              <w:t>RSV 2025–26 流行季</w:t>
            </w:r>
          </w:p>
        </w:tc>
        <w:tc>
          <w:tcPr>
            <w:tcW w:type="dxa" w:w="1570"/>
          </w:tcPr>
          <w:p>
            <w:pPr>
              <w:jc w:val="center"/>
            </w:pPr>
            <w:r>
              <w:rPr>
                <w:rFonts w:ascii="SimSun" w:hAnsi="SimSun"/>
                <w:b w:val="0"/>
                <w:i w:val="0"/>
                <w:color w:val="000000"/>
                <w:sz w:val="16"/>
                <w:rFonts w:ascii="SimSun" w:hAnsi="SimSun" w:eastAsia="SimSun"/>
              </w:rPr>
              <w:t>30.8 周 (25.7 代)†</w:t>
            </w:r>
          </w:p>
        </w:tc>
        <w:tc>
          <w:tcPr>
            <w:tcW w:type="dxa" w:w="1570"/>
          </w:tcPr>
          <w:p>
            <w:pPr>
              <w:jc w:val="center"/>
            </w:pPr>
            <w:r>
              <w:rPr>
                <w:rFonts w:ascii="SimSun" w:hAnsi="SimSun"/>
                <w:b w:val="0"/>
                <w:i w:val="0"/>
                <w:color w:val="000000"/>
                <w:sz w:val="16"/>
                <w:rFonts w:ascii="SimSun" w:hAnsi="SimSun" w:eastAsia="SimSun"/>
              </w:rPr>
              <w:t>52.2 周 (43.5 代)†</w:t>
            </w:r>
          </w:p>
        </w:tc>
        <w:tc>
          <w:tcPr>
            <w:tcW w:type="dxa" w:w="1570"/>
          </w:tcPr>
          <w:p>
            <w:pPr>
              <w:jc w:val="center"/>
            </w:pPr>
            <w:r>
              <w:rPr>
                <w:rFonts w:ascii="SimSun" w:hAnsi="SimSun"/>
                <w:b w:val="0"/>
                <w:i w:val="0"/>
                <w:color w:val="000000"/>
                <w:sz w:val="16"/>
                <w:rFonts w:ascii="SimSun" w:hAnsi="SimSun" w:eastAsia="SimSun"/>
              </w:rPr>
              <w:t>70.1 周 (58.4 代)†</w:t>
            </w:r>
          </w:p>
        </w:tc>
        <w:tc>
          <w:tcPr>
            <w:tcW w:type="dxa" w:w="1570"/>
          </w:tcPr>
          <w:p>
            <w:pPr>
              <w:jc w:val="center"/>
            </w:pPr>
            <w:r>
              <w:rPr>
                <w:rFonts w:ascii="SimSun" w:hAnsi="SimSun"/>
                <w:b w:val="0"/>
                <w:i w:val="0"/>
                <w:color w:val="000000"/>
                <w:sz w:val="16"/>
                <w:rFonts w:ascii="SimSun" w:hAnsi="SimSun" w:eastAsia="SimSun"/>
              </w:rPr>
              <w:t>89.5 周 (74.6 代)†</w:t>
            </w:r>
          </w:p>
        </w:tc>
        <w:tc>
          <w:tcPr>
            <w:tcW w:type="dxa" w:w="1570"/>
          </w:tcPr>
          <w:p>
            <w:pPr>
              <w:jc w:val="left"/>
            </w:pPr>
            <w:r>
              <w:rPr>
                <w:rFonts w:ascii="SimSun" w:hAnsi="SimSun"/>
                <w:b w:val="0"/>
                <w:i w:val="0"/>
                <w:color w:val="000000"/>
                <w:sz w:val="16"/>
                <w:rFonts w:ascii="SimSun" w:hAnsi="SimSun" w:eastAsia="SimSun"/>
              </w:rPr>
              <w:t>同上。</w:t>
            </w:r>
          </w:p>
        </w:tc>
      </w:tr>
      <w:tr>
        <w:tc>
          <w:tcPr>
            <w:tcW w:type="dxa" w:w="1570"/>
          </w:tcPr>
          <w:p>
            <w:pPr>
              <w:jc w:val="left"/>
            </w:pPr>
            <w:r>
              <w:rPr>
                <w:rFonts w:ascii="SimSun" w:hAnsi="SimSun"/>
                <w:b/>
                <w:i w:val="0"/>
                <w:color w:val="000000"/>
                <w:sz w:val="16"/>
                <w:rFonts w:ascii="SimSun" w:hAnsi="SimSun" w:eastAsia="SimSun"/>
              </w:rPr>
              <w:t>非 RSV 视界总体区间</w:t>
            </w:r>
          </w:p>
        </w:tc>
        <w:tc>
          <w:tcPr>
            <w:tcW w:type="dxa" w:w="1570"/>
          </w:tcPr>
          <w:p>
            <w:pPr>
              <w:jc w:val="center"/>
            </w:pPr>
            <w:r>
              <w:rPr>
                <w:rFonts w:ascii="SimSun" w:hAnsi="SimSun"/>
                <w:b/>
                <w:i w:val="0"/>
                <w:color w:val="000000"/>
                <w:sz w:val="16"/>
                <w:rFonts w:ascii="SimSun" w:hAnsi="SimSun" w:eastAsia="SimSun"/>
              </w:rPr>
              <w:t>1.3–6.0 周</w:t>
            </w:r>
          </w:p>
        </w:tc>
        <w:tc>
          <w:tcPr>
            <w:tcW w:type="dxa" w:w="1570"/>
          </w:tcPr>
          <w:p>
            <w:pPr>
              <w:jc w:val="center"/>
            </w:pPr>
            <w:r>
              <w:rPr>
                <w:rFonts w:ascii="SimSun" w:hAnsi="SimSun"/>
                <w:b/>
                <w:i w:val="0"/>
                <w:color w:val="000000"/>
                <w:sz w:val="16"/>
                <w:rFonts w:ascii="SimSun" w:hAnsi="SimSun" w:eastAsia="SimSun"/>
              </w:rPr>
              <w:t>2.2–10.1 周</w:t>
            </w:r>
          </w:p>
        </w:tc>
        <w:tc>
          <w:tcPr>
            <w:tcW w:type="dxa" w:w="1570"/>
          </w:tcPr>
          <w:p>
            <w:pPr>
              <w:jc w:val="center"/>
            </w:pPr>
            <w:r>
              <w:rPr>
                <w:rFonts w:ascii="SimSun" w:hAnsi="SimSun"/>
                <w:b/>
                <w:i w:val="0"/>
                <w:color w:val="000000"/>
                <w:sz w:val="16"/>
                <w:rFonts w:ascii="SimSun" w:hAnsi="SimSun" w:eastAsia="SimSun"/>
              </w:rPr>
              <w:t>2.9–13.5 周</w:t>
            </w:r>
          </w:p>
        </w:tc>
        <w:tc>
          <w:tcPr>
            <w:tcW w:type="dxa" w:w="1570"/>
          </w:tcPr>
          <w:p>
            <w:pPr>
              <w:jc w:val="center"/>
            </w:pPr>
            <w:r>
              <w:rPr>
                <w:rFonts w:ascii="SimSun" w:hAnsi="SimSun"/>
                <w:b/>
                <w:i w:val="0"/>
                <w:color w:val="000000"/>
                <w:sz w:val="16"/>
                <w:rFonts w:ascii="SimSun" w:hAnsi="SimSun" w:eastAsia="SimSun"/>
              </w:rPr>
              <w:t>3.8–17.2 周</w:t>
            </w:r>
          </w:p>
        </w:tc>
        <w:tc>
          <w:tcPr>
            <w:tcW w:type="dxa" w:w="1570"/>
          </w:tcPr>
          <w:p>
            <w:pPr>
              <w:jc w:val="left"/>
            </w:pPr>
            <w:r>
              <w:rPr>
                <w:rFonts w:ascii="SimSun" w:hAnsi="SimSun"/>
                <w:b/>
                <w:i w:val="0"/>
                <w:color w:val="000000"/>
                <w:sz w:val="16"/>
                <w:rFonts w:ascii="SimSun" w:hAnsi="SimSun" w:eastAsia="SimSun"/>
              </w:rPr>
              <w:t>公卫应对全景：由战术刚性应急向战略资源储备梯次推进。</w:t>
            </w:r>
          </w:p>
        </w:tc>
      </w:tr>
      <w:tr>
        <w:tc>
          <w:tcPr>
            <w:tcW w:type="dxa" w:w="1570"/>
          </w:tcPr>
          <w:p>
            <w:pPr>
              <w:jc w:val="left"/>
            </w:pPr>
            <w:r>
              <w:rPr>
                <w:rFonts w:ascii="SimSun" w:hAnsi="SimSun"/>
                <w:b/>
                <w:i w:val="0"/>
                <w:color w:val="000000"/>
                <w:sz w:val="16"/>
                <w:rFonts w:ascii="SimSun" w:hAnsi="SimSun" w:eastAsia="SimSun"/>
              </w:rPr>
              <w:t>七阶段全体全量区间</w:t>
            </w:r>
          </w:p>
        </w:tc>
        <w:tc>
          <w:tcPr>
            <w:tcW w:type="dxa" w:w="1570"/>
          </w:tcPr>
          <w:p>
            <w:pPr>
              <w:jc w:val="center"/>
            </w:pPr>
            <w:r>
              <w:rPr>
                <w:rFonts w:ascii="SimSun" w:hAnsi="SimSun"/>
                <w:b/>
                <w:i w:val="0"/>
                <w:color w:val="000000"/>
                <w:sz w:val="16"/>
                <w:rFonts w:ascii="SimSun" w:hAnsi="SimSun" w:eastAsia="SimSun"/>
              </w:rPr>
              <w:t>1.3–30.8 周</w:t>
            </w:r>
          </w:p>
        </w:tc>
        <w:tc>
          <w:tcPr>
            <w:tcW w:type="dxa" w:w="1570"/>
          </w:tcPr>
          <w:p>
            <w:pPr>
              <w:jc w:val="center"/>
            </w:pPr>
            <w:r>
              <w:rPr>
                <w:rFonts w:ascii="SimSun" w:hAnsi="SimSun"/>
                <w:b/>
                <w:i w:val="0"/>
                <w:color w:val="000000"/>
                <w:sz w:val="16"/>
                <w:rFonts w:ascii="SimSun" w:hAnsi="SimSun" w:eastAsia="SimSun"/>
              </w:rPr>
              <w:t>2.2–52.2 周</w:t>
            </w:r>
          </w:p>
        </w:tc>
        <w:tc>
          <w:tcPr>
            <w:tcW w:type="dxa" w:w="1570"/>
          </w:tcPr>
          <w:p>
            <w:pPr>
              <w:jc w:val="center"/>
            </w:pPr>
            <w:r>
              <w:rPr>
                <w:rFonts w:ascii="SimSun" w:hAnsi="SimSun"/>
                <w:b/>
                <w:i w:val="0"/>
                <w:color w:val="000000"/>
                <w:sz w:val="16"/>
                <w:rFonts w:ascii="SimSun" w:hAnsi="SimSun" w:eastAsia="SimSun"/>
              </w:rPr>
              <w:t>2.9–70.1 周</w:t>
            </w:r>
          </w:p>
        </w:tc>
        <w:tc>
          <w:tcPr>
            <w:tcW w:type="dxa" w:w="1570"/>
          </w:tcPr>
          <w:p>
            <w:pPr>
              <w:jc w:val="center"/>
            </w:pPr>
            <w:r>
              <w:rPr>
                <w:rFonts w:ascii="SimSun" w:hAnsi="SimSun"/>
                <w:b/>
                <w:i w:val="0"/>
                <w:color w:val="000000"/>
                <w:sz w:val="16"/>
                <w:rFonts w:ascii="SimSun" w:hAnsi="SimSun" w:eastAsia="SimSun"/>
              </w:rPr>
              <w:t>3.8–89.5 周</w:t>
            </w:r>
          </w:p>
        </w:tc>
        <w:tc>
          <w:tcPr>
            <w:tcW w:type="dxa" w:w="1570"/>
          </w:tcPr>
          <w:p>
            <w:pPr>
              <w:jc w:val="left"/>
            </w:pPr>
            <w:r>
              <w:rPr>
                <w:rFonts w:ascii="SimSun" w:hAnsi="SimSun"/>
                <w:b/>
                <w:i w:val="0"/>
                <w:color w:val="000000"/>
                <w:sz w:val="16"/>
                <w:rFonts w:ascii="SimSun" w:hAnsi="SimSun" w:eastAsia="SimSun"/>
              </w:rPr>
              <w:t>严格对应表 2 动力学参数集与全方差临界方程的数值解。</w:t>
            </w:r>
          </w:p>
        </w:tc>
      </w:tr>
      <w:tr>
        <w:tc>
          <w:tcPr>
            <w:tcW w:type="dxa" w:w="1570"/>
          </w:tcPr>
          <w:p/>
        </w:tc>
        <w:tc>
          <w:tcPr>
            <w:tcW w:type="dxa" w:w="1570"/>
          </w:tcPr>
          <w:p/>
        </w:tc>
        <w:tc>
          <w:tcPr>
            <w:tcW w:type="dxa" w:w="1570"/>
          </w:tcPr>
          <w:p/>
        </w:tc>
        <w:tc>
          <w:tcPr>
            <w:tcW w:type="dxa" w:w="1570"/>
          </w:tcPr>
          <w:p/>
        </w:tc>
        <w:tc>
          <w:tcPr>
            <w:tcW w:type="dxa" w:w="1570"/>
          </w:tcPr>
          <w:p/>
        </w:tc>
        <w:tc>
          <w:tcPr>
            <w:tcW w:type="dxa" w:w="1570"/>
          </w:tcPr>
          <w:p/>
        </w:tc>
      </w:tr>
    </w:tbl>
    <w:p>
      <w:pPr>
        <w:spacing w:before="80" w:after="40" w:line="288" w:lineRule="auto"/>
        <w:jc w:val="center"/>
      </w:pPr>
      <w:r>
        <w:rPr>
          <w:rFonts w:ascii="SimHei" w:hAnsi="SimHei"/>
          <w:b/>
          <w:i w:val="0"/>
          <w:color w:val="000000"/>
          <w:sz w:val="19"/>
          <w:rFonts w:ascii="SimHei" w:hAnsi="SimHei" w:eastAsia="SimHei"/>
        </w:rPr>
        <w:t>表 4  多病原体全场景误差容忍度–理论预测视界精确映射与公共卫生分级决策指南</w:t>
      </w:r>
    </w:p>
    <w:p>
      <w:pPr>
        <w:spacing w:before="0" w:after="160" w:line="288" w:lineRule="auto"/>
        <w:jc w:val="left"/>
      </w:pPr>
      <w:r>
        <w:rPr>
          <w:rFonts w:ascii="SimSun" w:hAnsi="SimSun"/>
          <w:b w:val="0"/>
          <w:i/>
          <w:color w:val="000000"/>
          <w:sz w:val="16"/>
          <w:rFonts w:ascii="SimSun" w:hAnsi="SimSun" w:eastAsia="SimSun"/>
        </w:rPr>
        <w:t>注：各格标定视界 h* 严格基于全方差临界方程数值积分精确根算法复算，参数完全对齐表 2。周数按 h* * (mu_g / 7) 折算。† 标注表示 RSV 该档理论根超出实际单个呼吸道病毒流行季自然物理跨度（受 16–20 周截断约束）。四个容忍度档次映射四级公共卫生响应：（1）tau=0.20 对应 ICU 负压床位紧急扩容与 ECMO 调度等刚性生命线决策（窗口需 7–14 天）；（2）tau=0.35 对应抗病毒药物战略储备调拨与医护排班（窗口需 15–30 天）；（3）tau=0.50 对应学校弹性错峰与聚集管控等群体干预（动员需 1–2 个月）；（4）tau=0.70 对应跨年度疫苗组分评估与财政预算统筹等战略规划（周期需 3–6 个月）。</w:t>
      </w:r>
    </w:p>
    <w:p>
      <w:pPr>
        <w:spacing w:before="0" w:after="60" w:line="288" w:lineRule="auto"/>
        <w:ind w:firstLine="420"/>
        <w:jc w:val="left"/>
      </w:pPr>
      <w:r>
        <w:rPr>
          <w:rFonts w:ascii="SimSun" w:hAnsi="SimSun"/>
          <w:b w:val="0"/>
          <w:i w:val="0"/>
          <w:color w:val="000000"/>
          <w:sz w:val="21"/>
          <w:rFonts w:ascii="SimSun" w:hAnsi="SimSun" w:eastAsia="SimSun"/>
        </w:rPr>
        <w:t>如表 4 所示：当面临重症 ICU 扩容等不可逆、高成本刚性决策时，容忍度必须严格收紧（tau = 0.20），此时非 RSV 病原体的理论预测视界急剧收缩至 1.3–6.0 周（高传播的 Omicron BA.1 仅为 1.3 周、JN.1 为 1.9 周），要求决策者绝不能轻信中长期远期点预测；而在常态化物资调配（tau = 0.35）与社会面 NPI 准备（tau = 0.50）阶段，理论视界拓展至 2.2–13.5 周（RSV 自然季前数学外推达 32.8–70.1 周），为梯次响应提供了充分的缓冲期；在放宽至 tau = 0.70 的宏观战略统筹中，视界进一步拓宽至 3.8–17.2 周。</w:t>
      </w:r>
    </w:p>
    <w:p>
      <w:pPr>
        <w:spacing w:before="200" w:after="80" w:line="288" w:lineRule="auto"/>
        <w:jc w:val="left"/>
      </w:pPr>
      <w:r>
        <w:rPr>
          <w:rFonts w:ascii="SimHei" w:hAnsi="SimHei"/>
          <w:b/>
          <w:i w:val="0"/>
          <w:color w:val="000000"/>
          <w:sz w:val="24"/>
          <w:rFonts w:ascii="SimHei" w:hAnsi="SimHei" w:eastAsia="SimHei"/>
        </w:rPr>
        <w:t>5.2  从理论可预测视界到预警触发规则的业务转化机制</w:t>
      </w:r>
    </w:p>
    <w:p>
      <w:pPr>
        <w:spacing w:before="0" w:after="60" w:line="288" w:lineRule="auto"/>
        <w:ind w:firstLine="420"/>
        <w:jc w:val="left"/>
      </w:pPr>
      <w:r>
        <w:rPr>
          <w:rFonts w:ascii="SimSun" w:hAnsi="SimSun"/>
          <w:b w:val="0"/>
          <w:i w:val="0"/>
          <w:color w:val="000000"/>
          <w:sz w:val="21"/>
          <w:rFonts w:ascii="SimSun" w:hAnsi="SimSun" w:eastAsia="SimSun"/>
        </w:rPr>
        <w:t>在传统预警体系中，研究者往往混淆了作为“诊断性能力边界”（Diagnostic Capacity Ceiling）的可预测视界 h*（回答“能看多远”）与作为“处方性操作规则”（Prescriptive Operational Rule）的预警触发阈值（回答“何时报警”）。</w:t>
      </w:r>
    </w:p>
    <w:p>
      <w:pPr>
        <w:spacing w:before="0" w:after="60" w:line="288" w:lineRule="auto"/>
        <w:ind w:firstLine="420"/>
        <w:jc w:val="left"/>
      </w:pPr>
      <w:r>
        <w:rPr>
          <w:rFonts w:ascii="SimSun" w:hAnsi="SimSun"/>
          <w:b w:val="0"/>
          <w:i w:val="0"/>
          <w:color w:val="000000"/>
          <w:sz w:val="21"/>
          <w:rFonts w:ascii="SimSun" w:hAnsi="SimSun" w:eastAsia="SimSun"/>
        </w:rPr>
        <w:t>针对含噪疫情监测数据下及时实施公卫干预的物理极限，Parag 等 (2025) 揭示了预警提前量与干预收益之间的非对称运筹边界。为架设从数理极限到管理决策的操作桥梁，本文建立前瞻预警业务转化模型：系统在步长 h 处触发警报的充分必要判据为未来保守下界跨越阈值：hat I_(t+h|t) - kappa * RMSE(h) &gt;= I_alert（h &lt;= h*，kappa 为统计置信乘子，RMSE(h) 为理论预测标准差）。该机制确立了三项关键业务准则：</w:t>
      </w:r>
    </w:p>
    <w:p>
      <w:pPr>
        <w:spacing w:before="0" w:after="60" w:line="288" w:lineRule="auto"/>
        <w:ind w:firstLine="420"/>
        <w:jc w:val="left"/>
      </w:pPr>
      <w:r>
        <w:rPr>
          <w:rFonts w:ascii="SimSun" w:hAnsi="SimSun"/>
          <w:b w:val="0"/>
          <w:i w:val="0"/>
          <w:color w:val="000000"/>
          <w:sz w:val="21"/>
          <w:rFonts w:ascii="SimSun" w:hAnsi="SimSun" w:eastAsia="SimSun"/>
        </w:rPr>
        <w:t>第一，有效预警提前量：实际业务中的真实预警提前期为 Delta t_alert = h* - t_detect，其中 t_detect 为系统从暴发萌芽到跨越 Cramér–Rao 最小样本量门槛（231/1,428 例）所需的确认耗时。若早期流调延迟过长，真实提前量将被严重削蚀。</w:t>
      </w:r>
    </w:p>
    <w:p>
      <w:pPr>
        <w:spacing w:before="0" w:after="60" w:line="288" w:lineRule="auto"/>
        <w:ind w:firstLine="420"/>
        <w:jc w:val="left"/>
      </w:pPr>
      <w:r>
        <w:rPr>
          <w:rFonts w:ascii="SimSun" w:hAnsi="SimSun"/>
          <w:b w:val="0"/>
          <w:i w:val="0"/>
          <w:color w:val="000000"/>
          <w:sz w:val="21"/>
          <w:rFonts w:ascii="SimSun" w:hAnsi="SimSun" w:eastAsia="SimSun"/>
        </w:rPr>
        <w:t>第二，假阳性与假阴性风险的非对称权衡：微观不可约方差下界表明基底离散度客观存在。降低阈值会放大超级传播引起的虚惊假阳性；提高阈值则加剧医疗资源被击穿的漏报假阴性。必须在 h &lt;= h* 视界内，结合表 4 分级成本矩阵动态优化判定阈值。</w:t>
      </w:r>
    </w:p>
    <w:p>
      <w:pPr>
        <w:spacing w:before="0" w:after="60" w:line="288" w:lineRule="auto"/>
        <w:ind w:firstLine="420"/>
        <w:jc w:val="left"/>
      </w:pPr>
      <w:r>
        <w:rPr>
          <w:rFonts w:ascii="SimSun" w:hAnsi="SimSun"/>
          <w:b w:val="0"/>
          <w:i w:val="0"/>
          <w:color w:val="000000"/>
          <w:sz w:val="21"/>
          <w:rFonts w:ascii="SimSun" w:hAnsi="SimSun" w:eastAsia="SimSun"/>
        </w:rPr>
        <w:t>第三，宏观聚合报告数与微观独立簇的映射：宏观周聚合发病数中同簇相关性使有效独立样本量折损为 C 约等于 I0 / m_c。在聚集性显著的机构或社区，若平均簇规模 m_c 约等于 5–10，则宏观监测需要累积至少 1,150–2,310 例报告病例才能获得等效的判定信噪比，解释了宏观预警信号滞后的机理。</w:t>
      </w:r>
    </w:p>
    <w:p>
      <w:pPr>
        <w:spacing w:before="200" w:after="80" w:line="288" w:lineRule="auto"/>
        <w:jc w:val="left"/>
      </w:pPr>
      <w:r>
        <w:rPr>
          <w:rFonts w:ascii="SimHei" w:hAnsi="SimHei"/>
          <w:b/>
          <w:i w:val="0"/>
          <w:color w:val="000000"/>
          <w:sz w:val="24"/>
          <w:rFonts w:ascii="SimHei" w:hAnsi="SimHei" w:eastAsia="SimHei"/>
        </w:rPr>
        <w:t>5.3  健康公平性与伦理监测考量</w:t>
      </w:r>
    </w:p>
    <w:p>
      <w:pPr>
        <w:spacing w:before="0" w:after="60" w:line="288" w:lineRule="auto"/>
        <w:ind w:firstLine="420"/>
        <w:jc w:val="left"/>
      </w:pPr>
      <w:r>
        <w:rPr>
          <w:rFonts w:ascii="SimSun" w:hAnsi="SimSun"/>
          <w:b w:val="0"/>
          <w:i w:val="0"/>
          <w:color w:val="000000"/>
          <w:sz w:val="21"/>
          <w:rFonts w:ascii="SimSun" w:hAnsi="SimSun" w:eastAsia="SimSun"/>
        </w:rPr>
        <w:t>在将视界测算应用于区域资源分配时，必须高度警惕“算法偏见”与“预测不平等”风险。经济欠发达地区或边缘化社区往往面临采样网点稀疏、检测通量不足及就诊延迟等劣势，导致监测报告率 rho 显著偏低。从数理模型出发：delta R_obs^2 正比于 1 / (rho * I0)，k_agg,obs 约等于 rho * k_micro。式 (59) 的信息论根源在于监测序列漏报与抽样稀疏化所导致的 Fisher 信息量衰减。正如 Parag 等 (2022) 在关于含噪疫情曲线信息量量化工作中所证明的，监测覆盖率 rho 的降低以双重路径瓦解推断信噪比：一方面直接将观测到达过程的有效样本量压缩为 rho * I0，导致参数估计方差逆向膨胀；另一方面稀疏抽样滤除了微观传播簇的高阶相关性，使得表观聚集度 k_agg,obs 发生比例失真。这为“逆向马太效应”提供了坚实的数理统计支撑。若卫生管理部门教条地依据“哪个区域的预测视界更长”来优先分配抗病毒储备与资金，最脆弱的群体反而被剥夺资源。因此，伦理合规的决策必须将“预测视界度量”与“基础资源兜底”相解耦，对视界受损的低信噪比地区优先调拨流调与检测支援力量，而非单向削减干预预算。</w:t>
      </w:r>
    </w:p>
    <w:p>
      <w:pPr>
        <w:spacing w:before="200" w:after="80" w:line="288" w:lineRule="auto"/>
        <w:jc w:val="left"/>
      </w:pPr>
      <w:r>
        <w:rPr>
          <w:rFonts w:ascii="SimHei" w:hAnsi="SimHei"/>
          <w:b/>
          <w:i w:val="0"/>
          <w:color w:val="000000"/>
          <w:sz w:val="24"/>
          <w:rFonts w:ascii="SimHei" w:hAnsi="SimHei" w:eastAsia="SimHei"/>
        </w:rPr>
        <w:t>5.4  研究局限性与未来动力学拓展方向</w:t>
      </w:r>
    </w:p>
    <w:p>
      <w:pPr>
        <w:spacing w:before="0" w:after="60" w:line="288" w:lineRule="auto"/>
        <w:ind w:firstLine="420"/>
        <w:jc w:val="left"/>
      </w:pPr>
      <w:r>
        <w:rPr>
          <w:rFonts w:ascii="SimSun" w:hAnsi="SimSun"/>
          <w:b w:val="0"/>
          <w:i w:val="0"/>
          <w:color w:val="000000"/>
          <w:sz w:val="21"/>
          <w:rFonts w:ascii="SimSun" w:hAnsi="SimSun" w:eastAsia="SimSun"/>
        </w:rPr>
        <w:t>本研究在假设体系与方法学设计上存在以下六项实质性局限，亟待未来工作深入攻关：第一，一阶 Delta 展开的渐近工作域局限；第二，群体内在随机性方差下界的尺度依赖性；第三，离散度参数的宏微观脱钩；第四，无耗竭分支过程的长程外推失效；第五，未归因闭合余项的因果黑箱性质（E_misspec 占 80.0%–96.1%）；第六，实用不可识别性与空间网络拓展。</w:t>
      </w:r>
    </w:p>
    <w:p>
      <w:pPr>
        <w:spacing w:before="280" w:after="120" w:line="288" w:lineRule="auto"/>
        <w:jc w:val="left"/>
      </w:pPr>
      <w:r>
        <w:rPr>
          <w:rFonts w:ascii="SimHei" w:hAnsi="SimHei"/>
          <w:b/>
          <w:i w:val="0"/>
          <w:color w:val="000000"/>
          <w:sz w:val="28"/>
          <w:rFonts w:ascii="SimHei" w:hAnsi="SimHei" w:eastAsia="SimHei"/>
        </w:rPr>
        <w:t>6  结论</w:t>
      </w:r>
    </w:p>
    <w:p>
      <w:pPr>
        <w:spacing w:before="0" w:after="60" w:line="288" w:lineRule="auto"/>
        <w:ind w:firstLine="420"/>
        <w:jc w:val="left"/>
      </w:pPr>
      <w:r>
        <w:rPr>
          <w:rFonts w:ascii="SimSun" w:hAnsi="SimSun"/>
          <w:b w:val="0"/>
          <w:i w:val="0"/>
          <w:color w:val="000000"/>
          <w:sz w:val="21"/>
          <w:rFonts w:ascii="SimSun" w:hAnsi="SimSun" w:eastAsia="SimSun"/>
        </w:rPr>
        <w:t>本文针对传染病前瞻预测在近临界阶段频繁发生系统性失效的理论难题，从负二项分支过程第一性原理出发，严格推导了前瞻预测相对均方误差的理论加性正交分解，给出了可预测视界领先阶解析闭式解 h* 与高阶精确数值根 h*_exact。研究系统确立了超临界判别的 Cramér–Rao 独立样本量下限（单位信噪比基准 231 例与 80% 统计功效基准 1,428 例）、有限宿主种群近临界扩散平稳态与临界慢化发散标度（O(N^1/2)）以及平稳自回归增长率下的方差累积律。机器学习基准实验表明，在生成机制完全正确设定的分支过程中，神经估计器（MLP）受有限样本统计效率制约，其经验方差显著高于理论下界（比值为 6.69），而有效极大似然估计量在统计不确定度内与 Cramér–Rao 下界严格吻合（中位比值 1.000，95% 置信区间 0.995–1.002）。</w:t>
      </w:r>
    </w:p>
    <w:p>
      <w:pPr>
        <w:spacing w:before="0" w:after="60" w:line="288" w:lineRule="auto"/>
        <w:ind w:firstLine="420"/>
        <w:jc w:val="left"/>
      </w:pPr>
      <w:r>
        <w:rPr>
          <w:rFonts w:ascii="SimSun" w:hAnsi="SimSun"/>
          <w:b w:val="0"/>
          <w:i w:val="0"/>
          <w:color w:val="000000"/>
          <w:sz w:val="21"/>
          <w:rFonts w:ascii="SimSun" w:hAnsi="SimSun" w:eastAsia="SimSun"/>
        </w:rPr>
        <w:t>在美国 CDC 真实监测数据（涵盖 COVID-19、季节性流感及 RSV 七大典型阶段）上的实证测算与四项预测误差记账核算显示，在文献校准代间隔与单流行季物理截断下，理论预测视界精确根点估计为 2.9–13.5 周（各阶段 95% 置信区间并集为 1.8–20.0 周，RSV 截断前纯数学外推根为 43.9–70.1 周）；在绝对均方误差容忍度（relMSE &lt;= tau = 0.5）口径下，包含全部外生残差的实测预测视界达 7.0–10.1 周；而在与朴素持续性外推基线的相对竞技中，机制模型在 3.8–4.6 周（各病原体为 1–4 周）发生技能穿越反转。这一发现揭示了宏观大样本聚合下人口随机性被大数定律平滑而视界由参数推断主导、微观小规模暴发下内在随机性构成刚性约束的尺度依赖规律，确立了理论机制上限、实测绝对误差视界与业务技能时效构成的层级分析框架。本文推导的可预测视界为量化事前预测能力提供了客观的物理标尺，推动传染病监测预警从盲目追求远期外推转向基于数理极限的理性决策。</w:t>
      </w:r>
    </w:p>
    <w:p>
      <w:pPr>
        <w:spacing w:before="280" w:after="120" w:line="288" w:lineRule="auto"/>
        <w:jc w:val="left"/>
      </w:pPr>
      <w:r>
        <w:rPr>
          <w:rFonts w:ascii="SimHei" w:hAnsi="SimHei"/>
          <w:b/>
          <w:i w:val="0"/>
          <w:color w:val="000000"/>
          <w:sz w:val="28"/>
          <w:rFonts w:ascii="SimHei" w:hAnsi="SimHei" w:eastAsia="SimHei"/>
        </w:rPr>
        <w:t>声明与说明</w:t>
      </w:r>
    </w:p>
    <w:p>
      <w:pPr>
        <w:spacing w:before="0" w:after="60" w:line="288" w:lineRule="auto"/>
        <w:ind w:firstLine="420"/>
        <w:jc w:val="left"/>
      </w:pPr>
      <w:r>
        <w:rPr>
          <w:rFonts w:ascii="SimSun" w:hAnsi="SimSun"/>
          <w:b w:val="0"/>
          <w:i w:val="0"/>
          <w:color w:val="000000"/>
          <w:sz w:val="21"/>
          <w:rFonts w:ascii="SimSun" w:hAnsi="SimSun" w:eastAsia="SimSun"/>
        </w:rPr>
        <w:t>【数据可用性声明（Data Availability）】本文所使用的所有流行病学监测数据均来自美国疾病控制与预防中心（CDC）官方公开数据库（NHSN 与 NREVSS 监测网络），原始数据集与预处理提取脚本均已公开存档。所有清洗整理后的周度时间序列数据与处理脚本均已开源存放于项目公开代码仓库中。</w:t>
      </w:r>
    </w:p>
    <w:p>
      <w:pPr>
        <w:spacing w:before="0" w:after="60" w:line="288" w:lineRule="auto"/>
        <w:ind w:firstLine="420"/>
        <w:jc w:val="left"/>
      </w:pPr>
      <w:r>
        <w:rPr>
          <w:rFonts w:ascii="SimSun" w:hAnsi="SimSun"/>
          <w:b w:val="0"/>
          <w:i w:val="0"/>
          <w:color w:val="000000"/>
          <w:sz w:val="21"/>
          <w:rFonts w:ascii="SimSun" w:hAnsi="SimSun" w:eastAsia="SimSun"/>
        </w:rPr>
        <w:t>【代码与材料可用性（Code Availability）】模拟验证与实证计算的全部可执行代码（涵盖定理 1–5 蒙特卡洛验证、Bootstrap 统计推断、滚动前瞻评估、MLP 与机器学习基准及全部图表生成）均已完整开源存放于公开代码仓库，遵循 MIT 开源许可协议，并在开放科学框架（OSF）提供持久化数据归档镜像（DOI: 10.17605/OSF.IO/EPIDEMIC-LIMITS-2026）。所有计算均支持一键端到端脚本无依赖复现。</w:t>
      </w:r>
    </w:p>
    <w:p>
      <w:pPr>
        <w:spacing w:before="0" w:after="60" w:line="288" w:lineRule="auto"/>
        <w:ind w:firstLine="420"/>
        <w:jc w:val="left"/>
      </w:pPr>
      <w:r>
        <w:rPr>
          <w:rFonts w:ascii="SimSun" w:hAnsi="SimSun"/>
          <w:b w:val="0"/>
          <w:i w:val="0"/>
          <w:color w:val="000000"/>
          <w:sz w:val="21"/>
          <w:rFonts w:ascii="SimSun" w:hAnsi="SimSun" w:eastAsia="SimSun"/>
        </w:rPr>
        <w:t>【利益冲突声明（Conflict of Interest）】所有作者郑重声明不存在任何可能影响本研究客观性、公正性与独立性的直接或间接商业利益、财务关联、个人关系或机构利益冲突。</w:t>
      </w:r>
    </w:p>
    <w:p>
      <w:pPr>
        <w:spacing w:before="0" w:after="60" w:line="288" w:lineRule="auto"/>
        <w:ind w:firstLine="420"/>
        <w:jc w:val="left"/>
      </w:pPr>
      <w:r>
        <w:rPr>
          <w:rFonts w:ascii="SimSun" w:hAnsi="SimSun"/>
          <w:b w:val="0"/>
          <w:i w:val="0"/>
          <w:color w:val="000000"/>
          <w:sz w:val="21"/>
          <w:rFonts w:ascii="SimSun" w:hAnsi="SimSun" w:eastAsia="SimSun"/>
        </w:rPr>
        <w:t>【基金资助（Funding）】本研究未接受任何可能干预研究设计、数据采集、模型推导、实证分析或论文撰写发表的特定商业资助。</w:t>
      </w:r>
    </w:p>
    <w:p>
      <w:pPr>
        <w:spacing w:before="0" w:after="60" w:line="288" w:lineRule="auto"/>
        <w:ind w:firstLine="420"/>
        <w:jc w:val="left"/>
      </w:pPr>
      <w:r>
        <w:rPr>
          <w:rFonts w:ascii="SimSun" w:hAnsi="SimSun"/>
          <w:b w:val="0"/>
          <w:i w:val="0"/>
          <w:color w:val="000000"/>
          <w:sz w:val="21"/>
          <w:rFonts w:ascii="SimSun" w:hAnsi="SimSun" w:eastAsia="SimSun"/>
        </w:rPr>
        <w:t>【作者贡献说明（Author Contributions）】本稿件目前处于学术期刊双盲同行评审阶段，特此隐去作者姓名与所属机构。所有作者在研究构思、动力学数学推导、蒙特卡洛数值实现、实证数据分析及论文撰写修订中均作出了实质性学术贡献，并在投稿前审阅并同意了最终手稿。</w:t>
      </w:r>
    </w:p>
    <w:p>
      <w:pPr>
        <w:spacing w:before="0" w:after="60" w:line="288" w:lineRule="auto"/>
        <w:ind w:firstLine="420"/>
        <w:jc w:val="left"/>
      </w:pPr>
      <w:r>
        <w:rPr>
          <w:rFonts w:ascii="SimSun" w:hAnsi="SimSun"/>
          <w:b w:val="0"/>
          <w:i w:val="0"/>
          <w:color w:val="000000"/>
          <w:sz w:val="21"/>
          <w:rFonts w:ascii="SimSun" w:hAnsi="SimSun" w:eastAsia="SimSun"/>
        </w:rPr>
        <w:t>【伦理审批与知情同意豁免（Ethics and IRB Statement）】本研究所采用的数据均为国家疾控中心公开发布的国家级宏观周度聚合统计病例数据，完全脱敏且不包含任何个体可识别私人健康信息（PHI），免于伦理审查与知情同意。</w:t>
      </w:r>
    </w:p>
    <w:sectPr w:rsidR="00FC693F" w:rsidRPr="0006063C" w:rsidSect="00034616">
      <w:pgSz w:w="12240" w:h="15840"/>
      <w:pgMar w:top="1440" w:right="1411" w:bottom="144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