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20" w:line="288" w:lineRule="auto"/>
        <w:jc w:val="center"/>
      </w:pPr>
      <w:r>
        <w:rPr>
          <w:rFonts w:ascii="SimHei" w:hAnsi="SimHei"/>
          <w:b/>
          <w:i w:val="0"/>
          <w:color w:val="000000"/>
          <w:sz w:val="36"/>
          <w:rFonts w:ascii="SimHei" w:hAnsi="SimHei" w:eastAsia="SimHei"/>
        </w:rPr>
        <w:t>流行病传播动力学的可预测视界、极限机制与实证研究</w:t>
      </w:r>
    </w:p>
    <w:p>
      <w:pPr>
        <w:spacing w:before="0" w:after="280" w:line="288" w:lineRule="auto"/>
        <w:jc w:val="center"/>
      </w:pPr>
      <w:r>
        <w:rPr>
          <w:rFonts w:ascii="KaiTi" w:hAnsi="KaiTi"/>
          <w:b w:val="0"/>
          <w:i/>
          <w:color w:val="000000"/>
          <w:sz w:val="22"/>
          <w:rFonts w:ascii="KaiTi" w:hAnsi="KaiTi" w:eastAsia="KaiTi"/>
        </w:rPr>
        <w:t>（同行评议盲审修回稿 · Round 9 深度修订版）</w:t>
      </w:r>
    </w:p>
    <w:p>
      <w:pPr>
        <w:spacing w:before="80" w:after="120" w:line="300" w:lineRule="auto"/>
        <w:ind w:firstLine="420"/>
        <w:jc w:val="left"/>
      </w:pPr>
      <w:r>
        <w:rPr>
          <w:rFonts w:ascii="SimSun" w:hAnsi="SimSun"/>
          <w:b w:val="0"/>
          <w:i w:val="0"/>
          <w:color w:val="000000"/>
          <w:sz w:val="20"/>
          <w:rFonts w:ascii="SimSun" w:hAnsi="SimSun" w:eastAsia="SimSun"/>
        </w:rPr>
        <w:t>摘要：针对重大传染病前瞻预测在近临界阶段频繁遭遇精度骤降与系统性失效的理论难题，本文基于负二项分支过程第一性原理，推导了前瞻预测相对均方误差的理论加性分解，建立了预设误差容忍度下可预测视界的解析映射，给出了领先阶闭式解与高阶数值积分精确根。研究将预测误差严格解耦为不可约微观人口随机性下界与随代际几何放大的参数推断误差，确立了超临界暴发判别的 Cramér–Rao 样本量下限与有限种群近临界拟平稳态的临界慢化标度。基于美国疾病预防控制中心（CDC）真实监测数据的实证测算表明，早期指数增长期的理论可预测视界为 2.9–13.5 周，达峰拐点期显著收缩（Delta 降至 7.8 周），消退期面临指数衰退与微观吸收态的动力学机制转移。四项全要素误差记账分解揭示：短程（1–2 周）预测方差由外生结构性扰动主导（占 72.6%–94.2%，全量程达 95.4%），而长程累积中参数外推误差几何级迅速主导（流感达 88.7%）；样本外滚动预测证实业务可操作时效通常被压缩至 1–4 周。研究揭示了宏观聚合平滑人口随机性而微观暴发受内在随机性刚性约束的尺度依赖规律，确立了理论机制上限与业务可操作时效构成的双层分析框架，为公共卫生早期预警从盲目远期外推转向基于物理极限的理性决策提供了客观量化基准。</w:t>
      </w:r>
    </w:p>
    <w:p>
      <w:pPr>
        <w:spacing w:before="0" w:after="240" w:line="288" w:lineRule="auto"/>
        <w:ind w:firstLine="420"/>
        <w:jc w:val="left"/>
      </w:pPr>
      <w:r>
        <w:rPr>
          <w:rFonts w:ascii="SimHei" w:hAnsi="SimHei"/>
          <w:b w:val="0"/>
          <w:i w:val="0"/>
          <w:color w:val="000000"/>
          <w:sz w:val="19"/>
          <w:rFonts w:ascii="SimHei" w:hAnsi="SimHei" w:eastAsia="SimHei"/>
        </w:rPr>
        <w:t>关键词：传染病预测；可预测视界；分支过程；人口随机性；近临界动力学；Cramér–Rao 下界；模型误设</w:t>
      </w:r>
    </w:p>
    <w:p>
      <w:pPr>
        <w:spacing w:before="280" w:after="120" w:line="288" w:lineRule="auto"/>
        <w:jc w:val="left"/>
      </w:pPr>
      <w:r>
        <w:rPr>
          <w:rFonts w:ascii="SimHei" w:hAnsi="SimHei"/>
          <w:b/>
          <w:i w:val="0"/>
          <w:color w:val="000000"/>
          <w:sz w:val="28"/>
          <w:rFonts w:ascii="SimHei" w:hAnsi="SimHei" w:eastAsia="SimHei"/>
        </w:rPr>
        <w:t>1  引言与文献回顾</w:t>
      </w:r>
    </w:p>
    <w:p>
      <w:pPr>
        <w:spacing w:before="200" w:after="80" w:line="288" w:lineRule="auto"/>
        <w:jc w:val="left"/>
      </w:pPr>
      <w:r>
        <w:rPr>
          <w:rFonts w:ascii="SimHei" w:hAnsi="SimHei"/>
          <w:b/>
          <w:i w:val="0"/>
          <w:color w:val="000000"/>
          <w:sz w:val="24"/>
          <w:rFonts w:ascii="SimHei" w:hAnsi="SimHei" w:eastAsia="SimHei"/>
        </w:rPr>
        <w:t>1.1  研究背景与核心科学问题</w:t>
      </w:r>
    </w:p>
    <w:p>
      <w:pPr>
        <w:spacing w:before="0" w:after="60" w:line="288" w:lineRule="auto"/>
        <w:ind w:firstLine="420"/>
        <w:jc w:val="left"/>
      </w:pPr>
      <w:r>
        <w:rPr>
          <w:rFonts w:ascii="SimSun" w:hAnsi="SimSun"/>
          <w:b w:val="0"/>
          <w:i w:val="0"/>
          <w:color w:val="000000"/>
          <w:sz w:val="21"/>
          <w:rFonts w:ascii="SimSun" w:hAnsi="SimSun" w:eastAsia="SimSun"/>
        </w:rPr>
        <w:t>传染病前瞻性预测是公共卫生应急响应与医疗资源梯次调配的核心支撑。然而从 2009 年 H1N1 流感、2014 年西非埃博拉到 COVID-19 全球大流行，国内外流行病预测系统普遍面临中长程预测性能断崖式衰减的系统性困境。在生态学与复杂动力系统预测领域，Petchey 等（2015）与 Dietze（2017）提出了生态可预测性概念框架，倡导将预测误差分解为初始条件不确定性、驱动变量误差、参数推断方差与模型结构误设等多源要素；Wesselkamp 等（2025）最新跨尺度实证亦强调了区分理论可预测极限与实际业务时效的必要性。在传染病预测领域，King 等（2015）明确指出忽视模型可辨识度与参数推断方差会导致不可避免的虚假准确度；Penn 等（2023）系统指出了可逆与不可逆更新机制在近临界传播推断中的信息不对称性；Parag 等（2025）揭示了疫情预警提前量与干预收益之间的非对称运筹边界。本文从负二项分支过程第一性原理出发，系统推导由不可约人口随机性方差与几何放大参数推断方差构成的相对均方误差解析闭式解，为评价流行病预测极限提供第一性原理基准。</w:t>
      </w:r>
    </w:p>
    <w:p>
      <w:pPr>
        <w:spacing w:before="200" w:after="80" w:line="288" w:lineRule="auto"/>
        <w:jc w:val="left"/>
      </w:pPr>
      <w:r>
        <w:rPr>
          <w:rFonts w:ascii="SimHei" w:hAnsi="SimHei"/>
          <w:b/>
          <w:i w:val="0"/>
          <w:color w:val="000000"/>
          <w:sz w:val="24"/>
          <w:rFonts w:ascii="SimHei" w:hAnsi="SimHei" w:eastAsia="SimHei"/>
        </w:rPr>
        <w:t>1.2  理论贡献与创新点</w:t>
      </w:r>
    </w:p>
    <w:p>
      <w:pPr>
        <w:spacing w:before="0" w:after="60" w:line="288" w:lineRule="auto"/>
        <w:ind w:firstLine="420"/>
        <w:jc w:val="left"/>
      </w:pPr>
      <w:r>
        <w:rPr>
          <w:rFonts w:ascii="SimSun" w:hAnsi="SimSun"/>
          <w:b w:val="0"/>
          <w:i w:val="0"/>
          <w:color w:val="000000"/>
          <w:sz w:val="21"/>
          <w:rFonts w:ascii="SimSun" w:hAnsi="SimSun" w:eastAsia="SimSun"/>
        </w:rPr>
        <w:t>本文的核心理论创新包括：（1）在负二项分支过程动力学框架下整合并求解，严格推导了相对均方误差的加性正交分解，给出离散世代视界的充要存在条件及闭式解 h* 与数值根 h*_exact；（2）导出负二项似然下超临界判别的 Cramér–Rao 独立样本量下限；（3）解析刻画有限宿主种群近临界扩散拟平稳态与临界慢化发散标度；（4）建立平稳自回归传播率下的宏观无标度方差累积律；（5）完成机器学习神经估计器相对于理论下界的信息论辨识极限基准测试；（6）基于美国 CDC 真实监测数据构建四项预测误差记账恒等式实测分解，并补充增长、达峰与消退三相位对照及理论视界与业务时效的双层对照分析。</w:t>
      </w:r>
    </w:p>
    <w:p>
      <w:pPr>
        <w:spacing w:before="280" w:after="120" w:line="288" w:lineRule="auto"/>
        <w:jc w:val="left"/>
      </w:pPr>
      <w:r>
        <w:rPr>
          <w:rFonts w:ascii="SimHei" w:hAnsi="SimHei"/>
          <w:b/>
          <w:i w:val="0"/>
          <w:color w:val="000000"/>
          <w:sz w:val="28"/>
          <w:rFonts w:ascii="SimHei" w:hAnsi="SimHei" w:eastAsia="SimHei"/>
        </w:rPr>
        <w:t>2  理论模型与定理证明</w:t>
      </w:r>
    </w:p>
    <w:p>
      <w:pPr>
        <w:spacing w:before="200" w:after="80" w:line="288" w:lineRule="auto"/>
        <w:jc w:val="left"/>
      </w:pPr>
      <w:r>
        <w:rPr>
          <w:rFonts w:ascii="SimHei" w:hAnsi="SimHei"/>
          <w:b/>
          <w:i w:val="0"/>
          <w:color w:val="000000"/>
          <w:sz w:val="24"/>
          <w:rFonts w:ascii="SimHei" w:hAnsi="SimHei" w:eastAsia="SimHei"/>
        </w:rPr>
        <w:t>2.1  分支过程模型设定与基础引理</w:t>
      </w:r>
    </w:p>
    <w:p>
      <w:pPr>
        <w:spacing w:before="0" w:after="60" w:line="288" w:lineRule="auto"/>
        <w:ind w:firstLine="420"/>
        <w:jc w:val="left"/>
      </w:pPr>
      <w:r>
        <w:rPr>
          <w:rFonts w:ascii="SimSun" w:hAnsi="SimSun"/>
          <w:b w:val="0"/>
          <w:i w:val="0"/>
          <w:color w:val="000000"/>
          <w:sz w:val="21"/>
          <w:rFonts w:ascii="SimSun" w:hAnsi="SimSun" w:eastAsia="SimSun"/>
        </w:rPr>
        <w:t>设第 t 代发病规模为 I_t，个体子代分布服从均值为 R、过度离散度为 k 的负二项分布：X_j ~ NB(R, k)。由重期望公式与全方差公式导出引理 1 与引理 2：CV^2(h) = (1 + R/k)(1 - R^(-h)) / [I_0(R - 1)]。在大样本下该项具有水平渐近线：CV_inf^2 = (1 + R/k) / [I_0(R - 1)]。</w:t>
      </w:r>
    </w:p>
    <w:p>
      <w:pPr>
        <w:spacing w:before="200" w:after="80" w:line="288" w:lineRule="auto"/>
        <w:jc w:val="left"/>
      </w:pPr>
      <w:r>
        <w:rPr>
          <w:rFonts w:ascii="SimHei" w:hAnsi="SimHei"/>
          <w:b/>
          <w:i w:val="0"/>
          <w:color w:val="000000"/>
          <w:sz w:val="24"/>
          <w:rFonts w:ascii="SimHei" w:hAnsi="SimHei" w:eastAsia="SimHei"/>
        </w:rPr>
        <w:t>2.2  相对均方误差分解与定理 1（可预测视界领先阶解析闭式解）</w:t>
      </w:r>
    </w:p>
    <w:p>
      <w:pPr>
        <w:spacing w:before="0" w:after="60" w:line="288" w:lineRule="auto"/>
        <w:ind w:firstLine="420"/>
        <w:jc w:val="left"/>
      </w:pPr>
      <w:r>
        <w:rPr>
          <w:rFonts w:ascii="SimSun" w:hAnsi="SimSun"/>
          <w:b w:val="0"/>
          <w:i w:val="0"/>
          <w:color w:val="000000"/>
          <w:sz w:val="21"/>
          <w:rFonts w:ascii="SimSun" w:hAnsi="SimSun" w:eastAsia="SimSun"/>
        </w:rPr>
        <w:t>在无偏推断假定下，前瞻预测相对均方误差严格满足加性正交分解：relMSE^2(h) = CV^2(h) + (1 + CV^2(h)) * [(1 + (delta R / R)^2)^h - 1]。一阶小扰动渐近展开给出领先阶闭式解：h* = ln[1 + (tau^2 - CV_inf^2) / (2 * (delta R / R)^2)] / ln R。在微观暴发（如 R=1.1, k=1.0, I_0=50）情境下，纯内在随机性视界上限 h*_stoch = 9.49 代构成硬约束；而在宏观大样本聚合下（N ~ 3.3e8），人口随机性被强平滑，视界几乎完全由参数推断方差主导。推论 1 连续化近似误差在 R=1.15 时测算表明，若忽略参数不确定性几何级非线性放大效应，其视界高估幅度达 158.7%（连续近似视界为 10.02 代，而高阶精确数值根仅为 3.87 代）。推论 2 确立了近临界展开工作域在 k &gt;= 0.5 下渐近近似误差绝对值不超过 13.6%。</w:t>
      </w:r>
    </w:p>
    <w:p>
      <w:pPr>
        <w:spacing w:before="200" w:after="80" w:line="288" w:lineRule="auto"/>
        <w:jc w:val="left"/>
      </w:pPr>
      <w:r>
        <w:rPr>
          <w:rFonts w:ascii="SimHei" w:hAnsi="SimHei"/>
          <w:b/>
          <w:i w:val="0"/>
          <w:color w:val="000000"/>
          <w:sz w:val="24"/>
          <w:rFonts w:ascii="SimHei" w:hAnsi="SimHei" w:eastAsia="SimHei"/>
        </w:rPr>
        <w:t>2.3  定理 3（有限宿主种群近临界拟平稳态与临界慢化标度）</w:t>
      </w:r>
    </w:p>
    <w:p>
      <w:pPr>
        <w:spacing w:before="0" w:after="60" w:line="288" w:lineRule="auto"/>
        <w:ind w:firstLine="420"/>
        <w:jc w:val="left"/>
      </w:pPr>
      <w:r>
        <w:rPr>
          <w:rFonts w:ascii="SimSun" w:hAnsi="SimSun"/>
          <w:b w:val="0"/>
          <w:i w:val="0"/>
          <w:color w:val="000000"/>
          <w:sz w:val="21"/>
          <w:rFonts w:ascii="SimSun" w:hAnsi="SimSun" w:eastAsia="SimSun"/>
        </w:rPr>
        <w:t>在有限宿主种群 N 约束下，当有效再生数处于临界慢化相变窗口 |R - 1| &lt;= O(N^(-1/2)) 时，拟平稳态条件分布密度满足截断对数正态标度，松弛时间发散标度为 tau_relax ~ O(N^(1/2))。对于美国国家级宏观监测（N ~ 3.3e8），临界相变窗口极窄（~ 5e-5），实证阶段均位于该窗口之外；定理 3 严格刻画的是局域社区、机构封闭群体或疫情近消退阶段的动力学机制。</w:t>
      </w:r>
    </w:p>
    <w:p>
      <w:pPr>
        <w:spacing w:before="200" w:after="80" w:line="288" w:lineRule="auto"/>
        <w:jc w:val="left"/>
      </w:pPr>
      <w:r>
        <w:rPr>
          <w:rFonts w:ascii="SimHei" w:hAnsi="SimHei"/>
          <w:b/>
          <w:i w:val="0"/>
          <w:color w:val="000000"/>
          <w:sz w:val="24"/>
          <w:rFonts w:ascii="SimHei" w:hAnsi="SimHei" w:eastAsia="SimHei"/>
        </w:rPr>
        <w:t>2.4  定理 4（超临界判别的 Cramér–Rao 信息论样本量下限）</w:t>
      </w:r>
    </w:p>
    <w:p>
      <w:pPr>
        <w:spacing w:before="0" w:after="60" w:line="288" w:lineRule="auto"/>
        <w:ind w:firstLine="420"/>
        <w:jc w:val="left"/>
      </w:pPr>
      <w:r>
        <w:rPr>
          <w:rFonts w:ascii="SimSun" w:hAnsi="SimSun"/>
          <w:b w:val="0"/>
          <w:i w:val="0"/>
          <w:color w:val="000000"/>
          <w:sz w:val="21"/>
          <w:rFonts w:ascii="SimSun" w:hAnsi="SimSun" w:eastAsia="SimSun"/>
        </w:rPr>
        <w:t>基于负二项似然的 Fisher 信息矩阵，无偏估计量方差达到 Cramér–Rao 下界：CRB(R) = R(1 + R/k) / n_eff。判定系统处于超临界状态（R &gt; 1）的最小独立样本量下限为：单位信噪比基准 n_min = 231 例；在双侧显著性水平 alpha=0.05 且统计功效 1 - beta = 0.80 下，功效基准独立样本量下限为 n_power = 1,428 例。</w:t>
      </w:r>
    </w:p>
    <w:p>
      <w:pPr>
        <w:spacing w:before="200" w:after="80" w:line="288" w:lineRule="auto"/>
        <w:jc w:val="left"/>
      </w:pPr>
      <w:r>
        <w:rPr>
          <w:rFonts w:ascii="SimHei" w:hAnsi="SimHei"/>
          <w:b/>
          <w:i w:val="0"/>
          <w:color w:val="000000"/>
          <w:sz w:val="24"/>
          <w:rFonts w:ascii="SimHei" w:hAnsi="SimHei" w:eastAsia="SimHei"/>
        </w:rPr>
        <w:t>2.5  定理 5 与定理 5R（平稳自回归传播率下的宏观方差累积律）</w:t>
      </w:r>
    </w:p>
    <w:p>
      <w:pPr>
        <w:spacing w:before="0" w:after="60" w:line="288" w:lineRule="auto"/>
        <w:ind w:firstLine="420"/>
        <w:jc w:val="left"/>
      </w:pPr>
      <w:r>
        <w:rPr>
          <w:rFonts w:ascii="SimSun" w:hAnsi="SimSun"/>
          <w:b w:val="0"/>
          <w:i w:val="0"/>
          <w:color w:val="000000"/>
          <w:sz w:val="21"/>
          <w:rFonts w:ascii="SimSun" w:hAnsi="SimSun" w:eastAsia="SimSun"/>
        </w:rPr>
        <w:t>在平稳一阶自回归传播率过程下，宏观更新前瞻预测误差方差满足：Var(Z_(t+h)|F_t) / (Z_t R^h)^2 = (1/k) + (sigma_v^2 / R^2) * [(1 - phi^(2h)) / (1 - phi^2)]。在实证记账中，传播率时变漂移项以一阶差分经验方差 E_drift(h) = h * Var(Delta log R_t) / R^2 作为经验代理量。</w:t>
      </w:r>
    </w:p>
    <w:p>
      <w:pPr>
        <w:spacing w:before="280" w:after="120" w:line="288" w:lineRule="auto"/>
        <w:jc w:val="left"/>
      </w:pPr>
      <w:r>
        <w:rPr>
          <w:rFonts w:ascii="SimHei" w:hAnsi="SimHei"/>
          <w:b/>
          <w:i w:val="0"/>
          <w:color w:val="000000"/>
          <w:sz w:val="28"/>
          <w:rFonts w:ascii="SimHei" w:hAnsi="SimHei" w:eastAsia="SimHei"/>
        </w:rPr>
        <w:t>3  数值验证与机器学习估计器基准测试</w:t>
      </w:r>
    </w:p>
    <w:p>
      <w:pPr>
        <w:spacing w:before="200" w:after="80" w:line="288" w:lineRule="auto"/>
        <w:jc w:val="left"/>
      </w:pPr>
      <w:r>
        <w:rPr>
          <w:rFonts w:ascii="SimHei" w:hAnsi="SimHei"/>
          <w:b/>
          <w:i w:val="0"/>
          <w:color w:val="000000"/>
          <w:sz w:val="24"/>
          <w:rFonts w:ascii="SimHei" w:hAnsi="SimHei" w:eastAsia="SimHei"/>
        </w:rPr>
        <w:t>3.1  高通量蒙特卡洛模拟验证</w:t>
      </w:r>
    </w:p>
    <w:p>
      <w:pPr>
        <w:spacing w:before="0" w:after="60" w:line="288" w:lineRule="auto"/>
        <w:ind w:firstLine="420"/>
        <w:jc w:val="left"/>
      </w:pPr>
      <w:r>
        <w:rPr>
          <w:rFonts w:ascii="SimSun" w:hAnsi="SimSun"/>
          <w:b w:val="0"/>
          <w:i w:val="0"/>
          <w:color w:val="000000"/>
          <w:sz w:val="21"/>
          <w:rFonts w:ascii="SimSun" w:hAnsi="SimSun" w:eastAsia="SimSun"/>
        </w:rPr>
        <w:t>基于 20,000 条合成负二项分支过程轨迹的高通量蒙特卡洛验证表明，实测 CV^2(h) 与理论解析公式完全吻合（最大相对偏差 &lt; 0.85%）。在 8 组跨越亚临界到超临界、不同样本量与聚集度的代表性配置下，每组独立生成 50,000 条轨迹进行样本均值极大似然估计。样本均值 MLE 经验方差与 Cramér–Rao 下界比值的均值为 1.000，95% 蒙特卡洛误差棒（± 0.0125）稳健覆盖 1.000。</w:t>
      </w:r>
    </w:p>
    <w:p>
      <w:pPr>
        <w:spacing w:before="200" w:after="80" w:line="288" w:lineRule="auto"/>
        <w:jc w:val="left"/>
      </w:pPr>
      <w:r>
        <w:rPr>
          <w:rFonts w:ascii="SimHei" w:hAnsi="SimHei"/>
          <w:b/>
          <w:i w:val="0"/>
          <w:color w:val="000000"/>
          <w:sz w:val="24"/>
          <w:rFonts w:ascii="SimHei" w:hAnsi="SimHei" w:eastAsia="SimHei"/>
        </w:rPr>
        <w:t>3.2  定理 5R 有限预热验证</w:t>
      </w:r>
    </w:p>
    <w:p>
      <w:pPr>
        <w:spacing w:before="0" w:after="60" w:line="288" w:lineRule="auto"/>
        <w:ind w:firstLine="420"/>
        <w:jc w:val="left"/>
      </w:pPr>
      <w:r>
        <w:rPr>
          <w:rFonts w:ascii="SimSun" w:hAnsi="SimSun"/>
          <w:b w:val="0"/>
          <w:i w:val="0"/>
          <w:color w:val="000000"/>
          <w:sz w:val="21"/>
          <w:rFonts w:ascii="SimSun" w:hAnsi="SimSun" w:eastAsia="SimSun"/>
        </w:rPr>
        <w:t>模拟轨迹起始于固定确定性初值，首步条件方差与平稳方差理论解析比值为 1 - phi^2 = 0.36，在有限预热步数下测得比值为 0.58，解析验证了系统自回归记忆向平稳态平滑过渡的过程；随着步长递增至 h=4 与 h=8，经验/理论比值迅速回升并收敛至 0.92–1.08。</w:t>
      </w:r>
    </w:p>
    <w:p>
      <w:pPr>
        <w:spacing w:before="200" w:after="80" w:line="288" w:lineRule="auto"/>
        <w:jc w:val="left"/>
      </w:pPr>
      <w:r>
        <w:rPr>
          <w:rFonts w:ascii="SimHei" w:hAnsi="SimHei"/>
          <w:b/>
          <w:i w:val="0"/>
          <w:color w:val="000000"/>
          <w:sz w:val="24"/>
          <w:rFonts w:ascii="SimHei" w:hAnsi="SimHei" w:eastAsia="SimHei"/>
        </w:rPr>
        <w:t>3.3  机器学习神经估计器基准测试</w:t>
      </w:r>
    </w:p>
    <w:p>
      <w:pPr>
        <w:spacing w:before="0" w:after="60" w:line="288" w:lineRule="auto"/>
        <w:ind w:firstLine="420"/>
        <w:jc w:val="left"/>
      </w:pPr>
      <w:r>
        <w:rPr>
          <w:rFonts w:ascii="SimSun" w:hAnsi="SimSun"/>
          <w:b w:val="0"/>
          <w:i w:val="0"/>
          <w:color w:val="000000"/>
          <w:sz w:val="21"/>
          <w:rFonts w:ascii="SimSun" w:hAnsi="SimSun" w:eastAsia="SimSun"/>
        </w:rPr>
        <w:t>基于 50 次独立随机初始化重复实验，浅层 MLP 神经估计器经验方差与 CRB 下界比值的均值为 6.69 ± 0.42（95% 置信区间 6.27–7.11，中位数为 6.69），反映出小样本浅层网络在离散分支噪声下的统计效率损耗；LightGBM 梯度提升树在 200 条合成曲线与 5 折交叉验证下充分逼近确定性外推，验证了统计学习估计量受底层信息论边界约束的客观规律。</w:t>
      </w:r>
    </w:p>
    <w:p>
      <w:pPr>
        <w:spacing w:before="280" w:after="120" w:line="288" w:lineRule="auto"/>
        <w:jc w:val="left"/>
      </w:pPr>
      <w:r>
        <w:rPr>
          <w:rFonts w:ascii="SimHei" w:hAnsi="SimHei"/>
          <w:b/>
          <w:i w:val="0"/>
          <w:color w:val="000000"/>
          <w:sz w:val="28"/>
          <w:rFonts w:ascii="SimHei" w:hAnsi="SimHei" w:eastAsia="SimHei"/>
        </w:rPr>
        <w:t>4  美国真实呼吸道传染病监测实证研究</w:t>
      </w:r>
    </w:p>
    <w:p>
      <w:pPr>
        <w:spacing w:before="200" w:after="80" w:line="288" w:lineRule="auto"/>
        <w:jc w:val="left"/>
      </w:pPr>
      <w:r>
        <w:rPr>
          <w:rFonts w:ascii="SimHei" w:hAnsi="SimHei"/>
          <w:b/>
          <w:i w:val="0"/>
          <w:color w:val="000000"/>
          <w:sz w:val="24"/>
          <w:rFonts w:ascii="SimHei" w:hAnsi="SimHei" w:eastAsia="SimHei"/>
        </w:rPr>
        <w:t>4.1  七大流行阶段动力学参数与理论视界测算</w:t>
      </w:r>
    </w:p>
    <w:p>
      <w:pPr>
        <w:spacing w:before="0" w:after="60" w:line="288" w:lineRule="auto"/>
        <w:ind w:firstLine="420"/>
        <w:jc w:val="left"/>
      </w:pPr>
      <w:r>
        <w:rPr>
          <w:rFonts w:ascii="SimSun" w:hAnsi="SimSun"/>
          <w:b w:val="0"/>
          <w:i w:val="0"/>
          <w:color w:val="000000"/>
          <w:sz w:val="21"/>
          <w:rFonts w:ascii="SimSun" w:hAnsi="SimSun" w:eastAsia="SimSun"/>
        </w:rPr>
        <w:t>基于美国 CDC 国家级监测序列（覆盖 COVID-19 Delta、Omicron、JN.1；季节性流感 2022–23、2024–25；RSV 2024–25、2025–26 七大典型阶段，聚焦于早期指数爬坡期），在标准误差容忍度 τ = 0.5 下测得的理论预测视界见表 2。</w:t>
      </w:r>
    </w:p>
    <w:tbl>
      <w:tblPr>
        <w:tblW w:type="auto" w:w="0"/>
        <w:jc w:val="center"/>
        <w:tblLook w:firstColumn="1" w:firstRow="1" w:lastColumn="0" w:lastRow="0" w:noHBand="0" w:noVBand="1" w:val="04A0"/>
        <w:tblBorders>
          <w:top w:val="single" w:sz="12" w:space="0" w:color="000000"/>
          <w:bottom w:val="single" w:sz="12" w:space="0" w:color="000000"/>
          <w:insideH w:val="none"/>
          <w:insideV w:val="none"/>
          <w:left w:val="none"/>
          <w:right w:val="none"/>
        </w:tblBorders>
      </w:tblPr>
      <w:tblGrid>
        <w:gridCol w:w="1177"/>
        <w:gridCol w:w="1177"/>
        <w:gridCol w:w="1177"/>
        <w:gridCol w:w="1177"/>
        <w:gridCol w:w="1177"/>
        <w:gridCol w:w="1177"/>
        <w:gridCol w:w="1177"/>
        <w:gridCol w:w="1177"/>
      </w:tblGrid>
      <w:tr>
        <w:tc>
          <w:tcPr>
            <w:tcW w:type="dxa" w:w="1177"/>
            <w:tcBorders>
              <w:bottom w:val="single" w:sz="6" w:space="0" w:color="000000"/>
            </w:tcBorders>
          </w:tcPr>
          <w:p>
            <w:pPr>
              <w:jc w:val="center"/>
            </w:pPr>
            <w:r>
              <w:rPr>
                <w:rFonts w:ascii="SimHei" w:hAnsi="SimHei"/>
                <w:b/>
                <w:i w:val="0"/>
                <w:color w:val="000000"/>
                <w:sz w:val="17"/>
                <w:rFonts w:ascii="SimHei" w:hAnsi="SimHei" w:eastAsia="SimHei"/>
              </w:rPr>
              <w:t>病原体 / 阶段</w:t>
            </w:r>
          </w:p>
        </w:tc>
        <w:tc>
          <w:tcPr>
            <w:tcW w:type="dxa" w:w="1177"/>
            <w:tcBorders>
              <w:bottom w:val="single" w:sz="6" w:space="0" w:color="000000"/>
            </w:tcBorders>
          </w:tcPr>
          <w:p>
            <w:pPr>
              <w:jc w:val="center"/>
            </w:pPr>
            <w:r>
              <w:rPr>
                <w:rFonts w:ascii="SimHei" w:hAnsi="SimHei"/>
                <w:b/>
                <w:i w:val="0"/>
                <w:color w:val="000000"/>
                <w:sz w:val="17"/>
                <w:rFonts w:ascii="SimHei" w:hAnsi="SimHei" w:eastAsia="SimHei"/>
              </w:rPr>
              <w:t>历法窗口</w:t>
            </w:r>
          </w:p>
        </w:tc>
        <w:tc>
          <w:tcPr>
            <w:tcW w:type="dxa" w:w="1177"/>
            <w:tcBorders>
              <w:bottom w:val="single" w:sz="6" w:space="0" w:color="000000"/>
            </w:tcBorders>
          </w:tcPr>
          <w:p>
            <w:pPr>
              <w:jc w:val="center"/>
            </w:pPr>
            <w:r>
              <w:rPr>
                <w:rFonts w:ascii="SimHei" w:hAnsi="SimHei"/>
                <w:b/>
                <w:i w:val="0"/>
                <w:color w:val="000000"/>
                <w:sz w:val="17"/>
                <w:rFonts w:ascii="SimHei" w:hAnsi="SimHei" w:eastAsia="SimHei"/>
              </w:rPr>
              <w:t>再生数 R</w:t>
            </w:r>
          </w:p>
        </w:tc>
        <w:tc>
          <w:tcPr>
            <w:tcW w:type="dxa" w:w="1177"/>
            <w:tcBorders>
              <w:bottom w:val="single" w:sz="6" w:space="0" w:color="000000"/>
            </w:tcBorders>
          </w:tcPr>
          <w:p>
            <w:pPr>
              <w:jc w:val="center"/>
            </w:pPr>
            <w:r>
              <w:rPr>
                <w:rFonts w:ascii="SimHei" w:hAnsi="SimHei"/>
                <w:b/>
                <w:i w:val="0"/>
                <w:color w:val="000000"/>
                <w:sz w:val="17"/>
                <w:rFonts w:ascii="SimHei" w:hAnsi="SimHei" w:eastAsia="SimHei"/>
              </w:rPr>
              <w:t>标准误 δR</w:t>
            </w:r>
          </w:p>
        </w:tc>
        <w:tc>
          <w:tcPr>
            <w:tcW w:type="dxa" w:w="1177"/>
            <w:tcBorders>
              <w:bottom w:val="single" w:sz="6" w:space="0" w:color="000000"/>
            </w:tcBorders>
          </w:tcPr>
          <w:p>
            <w:pPr>
              <w:jc w:val="center"/>
            </w:pPr>
            <w:r>
              <w:rPr>
                <w:rFonts w:ascii="SimHei" w:hAnsi="SimHei"/>
                <w:b/>
                <w:i w:val="0"/>
                <w:color w:val="000000"/>
                <w:sz w:val="17"/>
                <w:rFonts w:ascii="SimHei" w:hAnsi="SimHei" w:eastAsia="SimHei"/>
              </w:rPr>
              <w:t>聚合离散度 k</w:t>
            </w:r>
          </w:p>
        </w:tc>
        <w:tc>
          <w:tcPr>
            <w:tcW w:type="dxa" w:w="1177"/>
            <w:tcBorders>
              <w:bottom w:val="single" w:sz="6" w:space="0" w:color="000000"/>
            </w:tcBorders>
          </w:tcPr>
          <w:p>
            <w:pPr>
              <w:jc w:val="center"/>
            </w:pPr>
            <w:r>
              <w:rPr>
                <w:rFonts w:ascii="SimHei" w:hAnsi="SimHei"/>
                <w:b/>
                <w:i w:val="0"/>
                <w:color w:val="000000"/>
                <w:sz w:val="17"/>
                <w:rFonts w:ascii="SimHei" w:hAnsi="SimHei" w:eastAsia="SimHei"/>
              </w:rPr>
              <w:t>代间隔 μ_g</w:t>
            </w:r>
          </w:p>
        </w:tc>
        <w:tc>
          <w:tcPr>
            <w:tcW w:type="dxa" w:w="1177"/>
            <w:tcBorders>
              <w:bottom w:val="single" w:sz="6" w:space="0" w:color="000000"/>
            </w:tcBorders>
          </w:tcPr>
          <w:p>
            <w:pPr>
              <w:jc w:val="center"/>
            </w:pPr>
            <w:r>
              <w:rPr>
                <w:rFonts w:ascii="SimHei" w:hAnsi="SimHei"/>
                <w:b/>
                <w:i w:val="0"/>
                <w:color w:val="000000"/>
                <w:sz w:val="17"/>
                <w:rFonts w:ascii="SimHei" w:hAnsi="SimHei" w:eastAsia="SimHei"/>
              </w:rPr>
              <w:t>闭式解 h*</w:t>
            </w:r>
          </w:p>
        </w:tc>
        <w:tc>
          <w:tcPr>
            <w:tcW w:type="dxa" w:w="1177"/>
            <w:tcBorders>
              <w:bottom w:val="single" w:sz="6" w:space="0" w:color="000000"/>
            </w:tcBorders>
          </w:tcPr>
          <w:p>
            <w:pPr>
              <w:jc w:val="center"/>
            </w:pPr>
            <w:r>
              <w:rPr>
                <w:rFonts w:ascii="SimHei" w:hAnsi="SimHei"/>
                <w:b/>
                <w:i w:val="0"/>
                <w:color w:val="000000"/>
                <w:sz w:val="17"/>
                <w:rFonts w:ascii="SimHei" w:hAnsi="SimHei" w:eastAsia="SimHei"/>
              </w:rPr>
              <w:t>精确根 h*_exact</w:t>
            </w:r>
          </w:p>
        </w:tc>
      </w:tr>
      <w:tr>
        <w:tc>
          <w:tcPr>
            <w:tcW w:type="dxa" w:w="1177"/>
          </w:tcPr>
          <w:p>
            <w:pPr>
              <w:jc w:val="left"/>
            </w:pPr>
            <w:r>
              <w:rPr>
                <w:rFonts w:ascii="SimSun" w:hAnsi="SimSun"/>
                <w:b w:val="0"/>
                <w:i w:val="0"/>
                <w:color w:val="000000"/>
                <w:sz w:val="16"/>
                <w:rFonts w:ascii="SimSun" w:hAnsi="SimSun" w:eastAsia="SimSun"/>
              </w:rPr>
              <w:t>COVID-19 Delta</w:t>
            </w:r>
          </w:p>
        </w:tc>
        <w:tc>
          <w:tcPr>
            <w:tcW w:type="dxa" w:w="1177"/>
          </w:tcPr>
          <w:p>
            <w:pPr>
              <w:jc w:val="center"/>
            </w:pPr>
            <w:r>
              <w:rPr>
                <w:rFonts w:ascii="SimSun" w:hAnsi="SimSun"/>
                <w:b w:val="0"/>
                <w:i w:val="0"/>
                <w:color w:val="000000"/>
                <w:sz w:val="16"/>
                <w:rFonts w:ascii="SimSun" w:hAnsi="SimSun" w:eastAsia="SimSun"/>
              </w:rPr>
              <w:t>2021-W26–W30</w:t>
            </w:r>
          </w:p>
        </w:tc>
        <w:tc>
          <w:tcPr>
            <w:tcW w:type="dxa" w:w="1177"/>
          </w:tcPr>
          <w:p>
            <w:pPr>
              <w:jc w:val="center"/>
            </w:pPr>
            <w:r>
              <w:rPr>
                <w:rFonts w:ascii="SimSun" w:hAnsi="SimSun"/>
                <w:b w:val="0"/>
                <w:i w:val="0"/>
                <w:color w:val="000000"/>
                <w:sz w:val="16"/>
                <w:rFonts w:ascii="SimSun" w:hAnsi="SimSun" w:eastAsia="SimSun"/>
              </w:rPr>
              <w:t>1.3149</w:t>
            </w:r>
          </w:p>
        </w:tc>
        <w:tc>
          <w:tcPr>
            <w:tcW w:type="dxa" w:w="1177"/>
          </w:tcPr>
          <w:p>
            <w:pPr>
              <w:jc w:val="center"/>
            </w:pPr>
            <w:r>
              <w:rPr>
                <w:rFonts w:ascii="SimSun" w:hAnsi="SimSun"/>
                <w:b w:val="0"/>
                <w:i w:val="0"/>
                <w:color w:val="000000"/>
                <w:sz w:val="16"/>
                <w:rFonts w:ascii="SimSun" w:hAnsi="SimSun" w:eastAsia="SimSun"/>
              </w:rPr>
              <w:t>0.0285</w:t>
            </w:r>
          </w:p>
        </w:tc>
        <w:tc>
          <w:tcPr>
            <w:tcW w:type="dxa" w:w="1177"/>
          </w:tcPr>
          <w:p>
            <w:pPr>
              <w:jc w:val="center"/>
            </w:pPr>
            <w:r>
              <w:rPr>
                <w:rFonts w:ascii="SimSun" w:hAnsi="SimSun"/>
                <w:b w:val="0"/>
                <w:i w:val="0"/>
                <w:color w:val="000000"/>
                <w:sz w:val="16"/>
                <w:rFonts w:ascii="SimSun" w:hAnsi="SimSun" w:eastAsia="SimSun"/>
              </w:rPr>
              <w:t>46.2</w:t>
            </w:r>
          </w:p>
        </w:tc>
        <w:tc>
          <w:tcPr>
            <w:tcW w:type="dxa" w:w="1177"/>
          </w:tcPr>
          <w:p>
            <w:pPr>
              <w:jc w:val="center"/>
            </w:pPr>
            <w:r>
              <w:rPr>
                <w:rFonts w:ascii="SimSun" w:hAnsi="SimSun"/>
                <w:b w:val="0"/>
                <w:i w:val="0"/>
                <w:color w:val="000000"/>
                <w:sz w:val="16"/>
                <w:rFonts w:ascii="SimSun" w:hAnsi="SimSun" w:eastAsia="SimSun"/>
              </w:rPr>
              <w:t>4.7 天</w:t>
            </w:r>
          </w:p>
        </w:tc>
        <w:tc>
          <w:tcPr>
            <w:tcW w:type="dxa" w:w="1177"/>
          </w:tcPr>
          <w:p>
            <w:pPr>
              <w:jc w:val="center"/>
            </w:pPr>
            <w:r>
              <w:rPr>
                <w:rFonts w:ascii="SimSun" w:hAnsi="SimSun"/>
                <w:b w:val="0"/>
                <w:i w:val="0"/>
                <w:color w:val="000000"/>
                <w:sz w:val="16"/>
                <w:rFonts w:ascii="SimSun" w:hAnsi="SimSun" w:eastAsia="SimSun"/>
              </w:rPr>
              <w:t>15.0 周 (22.3 代)</w:t>
            </w:r>
          </w:p>
        </w:tc>
        <w:tc>
          <w:tcPr>
            <w:tcW w:type="dxa" w:w="1177"/>
          </w:tcPr>
          <w:p>
            <w:pPr>
              <w:jc w:val="center"/>
            </w:pPr>
            <w:r>
              <w:rPr>
                <w:rFonts w:ascii="SimSun" w:hAnsi="SimSun"/>
                <w:b w:val="0"/>
                <w:i w:val="0"/>
                <w:color w:val="000000"/>
                <w:sz w:val="16"/>
                <w:rFonts w:ascii="SimSun" w:hAnsi="SimSun" w:eastAsia="SimSun"/>
              </w:rPr>
              <w:t>13.5 周 (20.1 代)</w:t>
            </w:r>
          </w:p>
        </w:tc>
      </w:tr>
      <w:tr>
        <w:tc>
          <w:tcPr>
            <w:tcW w:type="dxa" w:w="1177"/>
          </w:tcPr>
          <w:p>
            <w:pPr>
              <w:jc w:val="left"/>
            </w:pPr>
            <w:r>
              <w:rPr>
                <w:rFonts w:ascii="SimSun" w:hAnsi="SimSun"/>
                <w:b w:val="0"/>
                <w:i w:val="0"/>
                <w:color w:val="000000"/>
                <w:sz w:val="16"/>
                <w:rFonts w:ascii="SimSun" w:hAnsi="SimSun" w:eastAsia="SimSun"/>
              </w:rPr>
              <w:t>COVID-19 Omicron</w:t>
            </w:r>
          </w:p>
        </w:tc>
        <w:tc>
          <w:tcPr>
            <w:tcW w:type="dxa" w:w="1177"/>
          </w:tcPr>
          <w:p>
            <w:pPr>
              <w:jc w:val="center"/>
            </w:pPr>
            <w:r>
              <w:rPr>
                <w:rFonts w:ascii="SimSun" w:hAnsi="SimSun"/>
                <w:b w:val="0"/>
                <w:i w:val="0"/>
                <w:color w:val="000000"/>
                <w:sz w:val="16"/>
                <w:rFonts w:ascii="SimSun" w:hAnsi="SimSun" w:eastAsia="SimSun"/>
              </w:rPr>
              <w:t>2021-W49–W03</w:t>
            </w:r>
          </w:p>
        </w:tc>
        <w:tc>
          <w:tcPr>
            <w:tcW w:type="dxa" w:w="1177"/>
          </w:tcPr>
          <w:p>
            <w:pPr>
              <w:jc w:val="center"/>
            </w:pPr>
            <w:r>
              <w:rPr>
                <w:rFonts w:ascii="SimSun" w:hAnsi="SimSun"/>
                <w:b w:val="0"/>
                <w:i w:val="0"/>
                <w:color w:val="000000"/>
                <w:sz w:val="16"/>
                <w:rFonts w:ascii="SimSun" w:hAnsi="SimSun" w:eastAsia="SimSun"/>
              </w:rPr>
              <w:t>1.1632</w:t>
            </w:r>
          </w:p>
        </w:tc>
        <w:tc>
          <w:tcPr>
            <w:tcW w:type="dxa" w:w="1177"/>
          </w:tcPr>
          <w:p>
            <w:pPr>
              <w:jc w:val="center"/>
            </w:pPr>
            <w:r>
              <w:rPr>
                <w:rFonts w:ascii="SimSun" w:hAnsi="SimSun"/>
                <w:b w:val="0"/>
                <w:i w:val="0"/>
                <w:color w:val="000000"/>
                <w:sz w:val="16"/>
                <w:rFonts w:ascii="SimSun" w:hAnsi="SimSun" w:eastAsia="SimSun"/>
              </w:rPr>
              <w:t>0.0762</w:t>
            </w:r>
          </w:p>
        </w:tc>
        <w:tc>
          <w:tcPr>
            <w:tcW w:type="dxa" w:w="1177"/>
          </w:tcPr>
          <w:p>
            <w:pPr>
              <w:jc w:val="center"/>
            </w:pPr>
            <w:r>
              <w:rPr>
                <w:rFonts w:ascii="SimSun" w:hAnsi="SimSun"/>
                <w:b w:val="0"/>
                <w:i w:val="0"/>
                <w:color w:val="000000"/>
                <w:sz w:val="16"/>
                <w:rFonts w:ascii="SimSun" w:hAnsi="SimSun" w:eastAsia="SimSun"/>
              </w:rPr>
              <w:t>27.4</w:t>
            </w:r>
          </w:p>
        </w:tc>
        <w:tc>
          <w:tcPr>
            <w:tcW w:type="dxa" w:w="1177"/>
          </w:tcPr>
          <w:p>
            <w:pPr>
              <w:jc w:val="center"/>
            </w:pPr>
            <w:r>
              <w:rPr>
                <w:rFonts w:ascii="SimSun" w:hAnsi="SimSun"/>
                <w:b w:val="0"/>
                <w:i w:val="0"/>
                <w:color w:val="000000"/>
                <w:sz w:val="16"/>
                <w:rFonts w:ascii="SimSun" w:hAnsi="SimSun" w:eastAsia="SimSun"/>
              </w:rPr>
              <w:t>3.0 天</w:t>
            </w:r>
          </w:p>
        </w:tc>
        <w:tc>
          <w:tcPr>
            <w:tcW w:type="dxa" w:w="1177"/>
          </w:tcPr>
          <w:p>
            <w:pPr>
              <w:jc w:val="center"/>
            </w:pPr>
            <w:r>
              <w:rPr>
                <w:rFonts w:ascii="SimSun" w:hAnsi="SimSun"/>
                <w:b w:val="0"/>
                <w:i w:val="0"/>
                <w:color w:val="000000"/>
                <w:sz w:val="16"/>
                <w:rFonts w:ascii="SimSun" w:hAnsi="SimSun" w:eastAsia="SimSun"/>
              </w:rPr>
              <w:t>3.4 周 (7.9 代)</w:t>
            </w:r>
          </w:p>
        </w:tc>
        <w:tc>
          <w:tcPr>
            <w:tcW w:type="dxa" w:w="1177"/>
          </w:tcPr>
          <w:p>
            <w:pPr>
              <w:jc w:val="center"/>
            </w:pPr>
            <w:r>
              <w:rPr>
                <w:rFonts w:ascii="SimSun" w:hAnsi="SimSun"/>
                <w:b w:val="0"/>
                <w:i w:val="0"/>
                <w:color w:val="000000"/>
                <w:sz w:val="16"/>
                <w:rFonts w:ascii="SimSun" w:hAnsi="SimSun" w:eastAsia="SimSun"/>
              </w:rPr>
              <w:t>2.9 周 (6.8 代)</w:t>
            </w:r>
          </w:p>
        </w:tc>
      </w:tr>
      <w:tr>
        <w:tc>
          <w:tcPr>
            <w:tcW w:type="dxa" w:w="1177"/>
          </w:tcPr>
          <w:p>
            <w:pPr>
              <w:jc w:val="left"/>
            </w:pPr>
            <w:r>
              <w:rPr>
                <w:rFonts w:ascii="SimSun" w:hAnsi="SimSun"/>
                <w:b w:val="0"/>
                <w:i w:val="0"/>
                <w:color w:val="000000"/>
                <w:sz w:val="16"/>
                <w:rFonts w:ascii="SimSun" w:hAnsi="SimSun" w:eastAsia="SimSun"/>
              </w:rPr>
              <w:t>COVID-19 JN.1</w:t>
            </w:r>
          </w:p>
        </w:tc>
        <w:tc>
          <w:tcPr>
            <w:tcW w:type="dxa" w:w="1177"/>
          </w:tcPr>
          <w:p>
            <w:pPr>
              <w:jc w:val="center"/>
            </w:pPr>
            <w:r>
              <w:rPr>
                <w:rFonts w:ascii="SimSun" w:hAnsi="SimSun"/>
                <w:b w:val="0"/>
                <w:i w:val="0"/>
                <w:color w:val="000000"/>
                <w:sz w:val="16"/>
                <w:rFonts w:ascii="SimSun" w:hAnsi="SimSun" w:eastAsia="SimSun"/>
              </w:rPr>
              <w:t>2023-W48–W02</w:t>
            </w:r>
          </w:p>
        </w:tc>
        <w:tc>
          <w:tcPr>
            <w:tcW w:type="dxa" w:w="1177"/>
          </w:tcPr>
          <w:p>
            <w:pPr>
              <w:jc w:val="center"/>
            </w:pPr>
            <w:r>
              <w:rPr>
                <w:rFonts w:ascii="SimSun" w:hAnsi="SimSun"/>
                <w:b w:val="0"/>
                <w:i w:val="0"/>
                <w:color w:val="000000"/>
                <w:sz w:val="16"/>
                <w:rFonts w:ascii="SimSun" w:hAnsi="SimSun" w:eastAsia="SimSun"/>
              </w:rPr>
              <w:t>1.1894</w:t>
            </w:r>
          </w:p>
        </w:tc>
        <w:tc>
          <w:tcPr>
            <w:tcW w:type="dxa" w:w="1177"/>
          </w:tcPr>
          <w:p>
            <w:pPr>
              <w:jc w:val="center"/>
            </w:pPr>
            <w:r>
              <w:rPr>
                <w:rFonts w:ascii="SimSun" w:hAnsi="SimSun"/>
                <w:b w:val="0"/>
                <w:i w:val="0"/>
                <w:color w:val="000000"/>
                <w:sz w:val="16"/>
                <w:rFonts w:ascii="SimSun" w:hAnsi="SimSun" w:eastAsia="SimSun"/>
              </w:rPr>
              <w:t>0.0487</w:t>
            </w:r>
          </w:p>
        </w:tc>
        <w:tc>
          <w:tcPr>
            <w:tcW w:type="dxa" w:w="1177"/>
          </w:tcPr>
          <w:p>
            <w:pPr>
              <w:jc w:val="center"/>
            </w:pPr>
            <w:r>
              <w:rPr>
                <w:rFonts w:ascii="SimSun" w:hAnsi="SimSun"/>
                <w:b w:val="0"/>
                <w:i w:val="0"/>
                <w:color w:val="000000"/>
                <w:sz w:val="16"/>
                <w:rFonts w:ascii="SimSun" w:hAnsi="SimSun" w:eastAsia="SimSun"/>
              </w:rPr>
              <w:t>35.8</w:t>
            </w:r>
          </w:p>
        </w:tc>
        <w:tc>
          <w:tcPr>
            <w:tcW w:type="dxa" w:w="1177"/>
          </w:tcPr>
          <w:p>
            <w:pPr>
              <w:jc w:val="center"/>
            </w:pPr>
            <w:r>
              <w:rPr>
                <w:rFonts w:ascii="SimSun" w:hAnsi="SimSun"/>
                <w:b w:val="0"/>
                <w:i w:val="0"/>
                <w:color w:val="000000"/>
                <w:sz w:val="16"/>
                <w:rFonts w:ascii="SimSun" w:hAnsi="SimSun" w:eastAsia="SimSun"/>
              </w:rPr>
              <w:t>3.5 天</w:t>
            </w:r>
          </w:p>
        </w:tc>
        <w:tc>
          <w:tcPr>
            <w:tcW w:type="dxa" w:w="1177"/>
          </w:tcPr>
          <w:p>
            <w:pPr>
              <w:jc w:val="center"/>
            </w:pPr>
            <w:r>
              <w:rPr>
                <w:rFonts w:ascii="SimSun" w:hAnsi="SimSun"/>
                <w:b w:val="0"/>
                <w:i w:val="0"/>
                <w:color w:val="000000"/>
                <w:sz w:val="16"/>
                <w:rFonts w:ascii="SimSun" w:hAnsi="SimSun" w:eastAsia="SimSun"/>
              </w:rPr>
              <w:t>4.9 周 (9.8 代)</w:t>
            </w:r>
          </w:p>
        </w:tc>
        <w:tc>
          <w:tcPr>
            <w:tcW w:type="dxa" w:w="1177"/>
          </w:tcPr>
          <w:p>
            <w:pPr>
              <w:jc w:val="center"/>
            </w:pPr>
            <w:r>
              <w:rPr>
                <w:rFonts w:ascii="SimSun" w:hAnsi="SimSun"/>
                <w:b w:val="0"/>
                <w:i w:val="0"/>
                <w:color w:val="000000"/>
                <w:sz w:val="16"/>
                <w:rFonts w:ascii="SimSun" w:hAnsi="SimSun" w:eastAsia="SimSun"/>
              </w:rPr>
              <w:t>4.2 周 (8.4 代)</w:t>
            </w:r>
          </w:p>
        </w:tc>
      </w:tr>
      <w:tr>
        <w:tc>
          <w:tcPr>
            <w:tcW w:type="dxa" w:w="1177"/>
          </w:tcPr>
          <w:p>
            <w:pPr>
              <w:jc w:val="left"/>
            </w:pPr>
            <w:r>
              <w:rPr>
                <w:rFonts w:ascii="SimSun" w:hAnsi="SimSun"/>
                <w:b w:val="0"/>
                <w:i w:val="0"/>
                <w:color w:val="000000"/>
                <w:sz w:val="16"/>
                <w:rFonts w:ascii="SimSun" w:hAnsi="SimSun" w:eastAsia="SimSun"/>
              </w:rPr>
              <w:t>流感 2022–23</w:t>
            </w:r>
          </w:p>
        </w:tc>
        <w:tc>
          <w:tcPr>
            <w:tcW w:type="dxa" w:w="1177"/>
          </w:tcPr>
          <w:p>
            <w:pPr>
              <w:jc w:val="center"/>
            </w:pPr>
            <w:r>
              <w:rPr>
                <w:rFonts w:ascii="SimSun" w:hAnsi="SimSun"/>
                <w:b w:val="0"/>
                <w:i w:val="0"/>
                <w:color w:val="000000"/>
                <w:sz w:val="16"/>
                <w:rFonts w:ascii="SimSun" w:hAnsi="SimSun" w:eastAsia="SimSun"/>
              </w:rPr>
              <w:t>2022-W40–W44</w:t>
            </w:r>
          </w:p>
        </w:tc>
        <w:tc>
          <w:tcPr>
            <w:tcW w:type="dxa" w:w="1177"/>
          </w:tcPr>
          <w:p>
            <w:pPr>
              <w:jc w:val="center"/>
            </w:pPr>
            <w:r>
              <w:rPr>
                <w:rFonts w:ascii="SimSun" w:hAnsi="SimSun"/>
                <w:b w:val="0"/>
                <w:i w:val="0"/>
                <w:color w:val="000000"/>
                <w:sz w:val="16"/>
                <w:rFonts w:ascii="SimSun" w:hAnsi="SimSun" w:eastAsia="SimSun"/>
              </w:rPr>
              <w:t>1.4138</w:t>
            </w:r>
          </w:p>
        </w:tc>
        <w:tc>
          <w:tcPr>
            <w:tcW w:type="dxa" w:w="1177"/>
          </w:tcPr>
          <w:p>
            <w:pPr>
              <w:jc w:val="center"/>
            </w:pPr>
            <w:r>
              <w:rPr>
                <w:rFonts w:ascii="SimSun" w:hAnsi="SimSun"/>
                <w:b w:val="0"/>
                <w:i w:val="0"/>
                <w:color w:val="000000"/>
                <w:sz w:val="16"/>
                <w:rFonts w:ascii="SimSun" w:hAnsi="SimSun" w:eastAsia="SimSun"/>
              </w:rPr>
              <w:t>0.0557</w:t>
            </w:r>
          </w:p>
        </w:tc>
        <w:tc>
          <w:tcPr>
            <w:tcW w:type="dxa" w:w="1177"/>
          </w:tcPr>
          <w:p>
            <w:pPr>
              <w:jc w:val="center"/>
            </w:pPr>
            <w:r>
              <w:rPr>
                <w:rFonts w:ascii="SimSun" w:hAnsi="SimSun"/>
                <w:b w:val="0"/>
                <w:i w:val="0"/>
                <w:color w:val="000000"/>
                <w:sz w:val="16"/>
                <w:rFonts w:ascii="SimSun" w:hAnsi="SimSun" w:eastAsia="SimSun"/>
              </w:rPr>
              <w:t>38.5</w:t>
            </w:r>
          </w:p>
        </w:tc>
        <w:tc>
          <w:tcPr>
            <w:tcW w:type="dxa" w:w="1177"/>
          </w:tcPr>
          <w:p>
            <w:pPr>
              <w:jc w:val="center"/>
            </w:pPr>
            <w:r>
              <w:rPr>
                <w:rFonts w:ascii="SimSun" w:hAnsi="SimSun"/>
                <w:b w:val="0"/>
                <w:i w:val="0"/>
                <w:color w:val="000000"/>
                <w:sz w:val="16"/>
                <w:rFonts w:ascii="SimSun" w:hAnsi="SimSun" w:eastAsia="SimSun"/>
              </w:rPr>
              <w:t>3.2 天</w:t>
            </w:r>
          </w:p>
        </w:tc>
        <w:tc>
          <w:tcPr>
            <w:tcW w:type="dxa" w:w="1177"/>
          </w:tcPr>
          <w:p>
            <w:pPr>
              <w:jc w:val="center"/>
            </w:pPr>
            <w:r>
              <w:rPr>
                <w:rFonts w:ascii="SimSun" w:hAnsi="SimSun"/>
                <w:b w:val="0"/>
                <w:i w:val="0"/>
                <w:color w:val="000000"/>
                <w:sz w:val="16"/>
                <w:rFonts w:ascii="SimSun" w:hAnsi="SimSun" w:eastAsia="SimSun"/>
              </w:rPr>
              <w:t>5.8 周 (12.7 代)</w:t>
            </w:r>
          </w:p>
        </w:tc>
        <w:tc>
          <w:tcPr>
            <w:tcW w:type="dxa" w:w="1177"/>
          </w:tcPr>
          <w:p>
            <w:pPr>
              <w:jc w:val="center"/>
            </w:pPr>
            <w:r>
              <w:rPr>
                <w:rFonts w:ascii="SimSun" w:hAnsi="SimSun"/>
                <w:b w:val="0"/>
                <w:i w:val="0"/>
                <w:color w:val="000000"/>
                <w:sz w:val="16"/>
                <w:rFonts w:ascii="SimSun" w:hAnsi="SimSun" w:eastAsia="SimSun"/>
              </w:rPr>
              <w:t>5.1 周 (11.2 代)</w:t>
            </w:r>
          </w:p>
        </w:tc>
      </w:tr>
      <w:tr>
        <w:tc>
          <w:tcPr>
            <w:tcW w:type="dxa" w:w="1177"/>
          </w:tcPr>
          <w:p>
            <w:pPr>
              <w:jc w:val="left"/>
            </w:pPr>
            <w:r>
              <w:rPr>
                <w:rFonts w:ascii="SimSun" w:hAnsi="SimSun"/>
                <w:b w:val="0"/>
                <w:i w:val="0"/>
                <w:color w:val="000000"/>
                <w:sz w:val="16"/>
                <w:rFonts w:ascii="SimSun" w:hAnsi="SimSun" w:eastAsia="SimSun"/>
              </w:rPr>
              <w:t>流感 2024–25</w:t>
            </w:r>
          </w:p>
        </w:tc>
        <w:tc>
          <w:tcPr>
            <w:tcW w:type="dxa" w:w="1177"/>
          </w:tcPr>
          <w:p>
            <w:pPr>
              <w:jc w:val="center"/>
            </w:pPr>
            <w:r>
              <w:rPr>
                <w:rFonts w:ascii="SimSun" w:hAnsi="SimSun"/>
                <w:b w:val="0"/>
                <w:i w:val="0"/>
                <w:color w:val="000000"/>
                <w:sz w:val="16"/>
                <w:rFonts w:ascii="SimSun" w:hAnsi="SimSun" w:eastAsia="SimSun"/>
              </w:rPr>
              <w:t>2024-W40–W44</w:t>
            </w:r>
          </w:p>
        </w:tc>
        <w:tc>
          <w:tcPr>
            <w:tcW w:type="dxa" w:w="1177"/>
          </w:tcPr>
          <w:p>
            <w:pPr>
              <w:jc w:val="center"/>
            </w:pPr>
            <w:r>
              <w:rPr>
                <w:rFonts w:ascii="SimSun" w:hAnsi="SimSun"/>
                <w:b w:val="0"/>
                <w:i w:val="0"/>
                <w:color w:val="000000"/>
                <w:sz w:val="16"/>
                <w:rFonts w:ascii="SimSun" w:hAnsi="SimSun" w:eastAsia="SimSun"/>
              </w:rPr>
              <w:t>1.2852</w:t>
            </w:r>
          </w:p>
        </w:tc>
        <w:tc>
          <w:tcPr>
            <w:tcW w:type="dxa" w:w="1177"/>
          </w:tcPr>
          <w:p>
            <w:pPr>
              <w:jc w:val="center"/>
            </w:pPr>
            <w:r>
              <w:rPr>
                <w:rFonts w:ascii="SimSun" w:hAnsi="SimSun"/>
                <w:b w:val="0"/>
                <w:i w:val="0"/>
                <w:color w:val="000000"/>
                <w:sz w:val="16"/>
                <w:rFonts w:ascii="SimSun" w:hAnsi="SimSun" w:eastAsia="SimSun"/>
              </w:rPr>
              <w:t>0.0341</w:t>
            </w:r>
          </w:p>
        </w:tc>
        <w:tc>
          <w:tcPr>
            <w:tcW w:type="dxa" w:w="1177"/>
          </w:tcPr>
          <w:p>
            <w:pPr>
              <w:jc w:val="center"/>
            </w:pPr>
            <w:r>
              <w:rPr>
                <w:rFonts w:ascii="SimSun" w:hAnsi="SimSun"/>
                <w:b w:val="0"/>
                <w:i w:val="0"/>
                <w:color w:val="000000"/>
                <w:sz w:val="16"/>
                <w:rFonts w:ascii="SimSun" w:hAnsi="SimSun" w:eastAsia="SimSun"/>
              </w:rPr>
              <w:t>42.1</w:t>
            </w:r>
          </w:p>
        </w:tc>
        <w:tc>
          <w:tcPr>
            <w:tcW w:type="dxa" w:w="1177"/>
          </w:tcPr>
          <w:p>
            <w:pPr>
              <w:jc w:val="center"/>
            </w:pPr>
            <w:r>
              <w:rPr>
                <w:rFonts w:ascii="SimSun" w:hAnsi="SimSun"/>
                <w:b w:val="0"/>
                <w:i w:val="0"/>
                <w:color w:val="000000"/>
                <w:sz w:val="16"/>
                <w:rFonts w:ascii="SimSun" w:hAnsi="SimSun" w:eastAsia="SimSun"/>
              </w:rPr>
              <w:t>3.2 天</w:t>
            </w:r>
          </w:p>
        </w:tc>
        <w:tc>
          <w:tcPr>
            <w:tcW w:type="dxa" w:w="1177"/>
          </w:tcPr>
          <w:p>
            <w:pPr>
              <w:jc w:val="center"/>
            </w:pPr>
            <w:r>
              <w:rPr>
                <w:rFonts w:ascii="SimSun" w:hAnsi="SimSun"/>
                <w:b w:val="0"/>
                <w:i w:val="0"/>
                <w:color w:val="000000"/>
                <w:sz w:val="16"/>
                <w:rFonts w:ascii="SimSun" w:hAnsi="SimSun" w:eastAsia="SimSun"/>
              </w:rPr>
              <w:t>8.2 周 (18.0 代)</w:t>
            </w:r>
          </w:p>
        </w:tc>
        <w:tc>
          <w:tcPr>
            <w:tcW w:type="dxa" w:w="1177"/>
          </w:tcPr>
          <w:p>
            <w:pPr>
              <w:jc w:val="center"/>
            </w:pPr>
            <w:r>
              <w:rPr>
                <w:rFonts w:ascii="SimSun" w:hAnsi="SimSun"/>
                <w:b w:val="0"/>
                <w:i w:val="0"/>
                <w:color w:val="000000"/>
                <w:sz w:val="16"/>
                <w:rFonts w:ascii="SimSun" w:hAnsi="SimSun" w:eastAsia="SimSun"/>
              </w:rPr>
              <w:t>7.2 周 (15.8 代)</w:t>
            </w:r>
          </w:p>
        </w:tc>
      </w:tr>
      <w:tr>
        <w:tc>
          <w:tcPr>
            <w:tcW w:type="dxa" w:w="1177"/>
          </w:tcPr>
          <w:p>
            <w:pPr>
              <w:jc w:val="left"/>
            </w:pPr>
            <w:r>
              <w:rPr>
                <w:rFonts w:ascii="SimSun" w:hAnsi="SimSun"/>
                <w:b w:val="0"/>
                <w:i w:val="0"/>
                <w:color w:val="000000"/>
                <w:sz w:val="16"/>
                <w:rFonts w:ascii="SimSun" w:hAnsi="SimSun" w:eastAsia="SimSun"/>
              </w:rPr>
              <w:t>RSV 2024–25</w:t>
            </w:r>
          </w:p>
        </w:tc>
        <w:tc>
          <w:tcPr>
            <w:tcW w:type="dxa" w:w="1177"/>
          </w:tcPr>
          <w:p>
            <w:pPr>
              <w:jc w:val="center"/>
            </w:pPr>
            <w:r>
              <w:rPr>
                <w:rFonts w:ascii="SimSun" w:hAnsi="SimSun"/>
                <w:b w:val="0"/>
                <w:i w:val="0"/>
                <w:color w:val="000000"/>
                <w:sz w:val="16"/>
                <w:rFonts w:ascii="SimSun" w:hAnsi="SimSun" w:eastAsia="SimSun"/>
              </w:rPr>
              <w:t>2024-W40–W44</w:t>
            </w:r>
          </w:p>
        </w:tc>
        <w:tc>
          <w:tcPr>
            <w:tcW w:type="dxa" w:w="1177"/>
          </w:tcPr>
          <w:p>
            <w:pPr>
              <w:jc w:val="center"/>
            </w:pPr>
            <w:r>
              <w:rPr>
                <w:rFonts w:ascii="SimSun" w:hAnsi="SimSun"/>
                <w:b w:val="0"/>
                <w:i w:val="0"/>
                <w:color w:val="000000"/>
                <w:sz w:val="16"/>
                <w:rFonts w:ascii="SimSun" w:hAnsi="SimSun" w:eastAsia="SimSun"/>
              </w:rPr>
              <w:t>1.0924</w:t>
            </w:r>
          </w:p>
        </w:tc>
        <w:tc>
          <w:tcPr>
            <w:tcW w:type="dxa" w:w="1177"/>
          </w:tcPr>
          <w:p>
            <w:pPr>
              <w:jc w:val="center"/>
            </w:pPr>
            <w:r>
              <w:rPr>
                <w:rFonts w:ascii="SimSun" w:hAnsi="SimSun"/>
                <w:b w:val="0"/>
                <w:i w:val="0"/>
                <w:color w:val="000000"/>
                <w:sz w:val="16"/>
                <w:rFonts w:ascii="SimSun" w:hAnsi="SimSun" w:eastAsia="SimSun"/>
              </w:rPr>
              <w:t>0.0146</w:t>
            </w:r>
          </w:p>
        </w:tc>
        <w:tc>
          <w:tcPr>
            <w:tcW w:type="dxa" w:w="1177"/>
          </w:tcPr>
          <w:p>
            <w:pPr>
              <w:jc w:val="center"/>
            </w:pPr>
            <w:r>
              <w:rPr>
                <w:rFonts w:ascii="SimSun" w:hAnsi="SimSun"/>
                <w:b w:val="0"/>
                <w:i w:val="0"/>
                <w:color w:val="000000"/>
                <w:sz w:val="16"/>
                <w:rFonts w:ascii="SimSun" w:hAnsi="SimSun" w:eastAsia="SimSun"/>
              </w:rPr>
              <w:t>&gt;=1000</w:t>
            </w:r>
          </w:p>
        </w:tc>
        <w:tc>
          <w:tcPr>
            <w:tcW w:type="dxa" w:w="1177"/>
          </w:tcPr>
          <w:p>
            <w:pPr>
              <w:jc w:val="center"/>
            </w:pPr>
            <w:r>
              <w:rPr>
                <w:rFonts w:ascii="SimSun" w:hAnsi="SimSun"/>
                <w:b w:val="0"/>
                <w:i w:val="0"/>
                <w:color w:val="000000"/>
                <w:sz w:val="16"/>
                <w:rFonts w:ascii="SimSun" w:hAnsi="SimSun" w:eastAsia="SimSun"/>
              </w:rPr>
              <w:t>8.4 天</w:t>
            </w:r>
          </w:p>
        </w:tc>
        <w:tc>
          <w:tcPr>
            <w:tcW w:type="dxa" w:w="1177"/>
          </w:tcPr>
          <w:p>
            <w:pPr>
              <w:jc w:val="center"/>
            </w:pPr>
            <w:r>
              <w:rPr>
                <w:rFonts w:ascii="SimSun" w:hAnsi="SimSun"/>
                <w:b w:val="0"/>
                <w:i w:val="0"/>
                <w:color w:val="000000"/>
                <w:sz w:val="16"/>
                <w:rFonts w:ascii="SimSun" w:hAnsi="SimSun" w:eastAsia="SimSun"/>
              </w:rPr>
              <w:t>49.8 周 (41.5 代)</w:t>
            </w:r>
          </w:p>
        </w:tc>
        <w:tc>
          <w:tcPr>
            <w:tcW w:type="dxa" w:w="1177"/>
          </w:tcPr>
          <w:p>
            <w:pPr>
              <w:jc w:val="center"/>
            </w:pPr>
            <w:r>
              <w:rPr>
                <w:rFonts w:ascii="SimSun" w:hAnsi="SimSun"/>
                <w:b w:val="0"/>
                <w:i w:val="0"/>
                <w:color w:val="000000"/>
                <w:sz w:val="16"/>
                <w:rFonts w:ascii="SimSun" w:hAnsi="SimSun" w:eastAsia="SimSun"/>
              </w:rPr>
              <w:t>43.9 周 (36.6 代)*</w:t>
            </w:r>
          </w:p>
        </w:tc>
      </w:tr>
      <w:tr>
        <w:tc>
          <w:tcPr>
            <w:tcW w:type="dxa" w:w="1177"/>
          </w:tcPr>
          <w:p>
            <w:pPr>
              <w:jc w:val="left"/>
            </w:pPr>
            <w:r>
              <w:rPr>
                <w:rFonts w:ascii="SimSun" w:hAnsi="SimSun"/>
                <w:b w:val="0"/>
                <w:i w:val="0"/>
                <w:color w:val="000000"/>
                <w:sz w:val="16"/>
                <w:rFonts w:ascii="SimSun" w:hAnsi="SimSun" w:eastAsia="SimSun"/>
              </w:rPr>
              <w:t>RSV 2025–26</w:t>
            </w:r>
          </w:p>
        </w:tc>
        <w:tc>
          <w:tcPr>
            <w:tcW w:type="dxa" w:w="1177"/>
          </w:tcPr>
          <w:p>
            <w:pPr>
              <w:jc w:val="center"/>
            </w:pPr>
            <w:r>
              <w:rPr>
                <w:rFonts w:ascii="SimSun" w:hAnsi="SimSun"/>
                <w:b w:val="0"/>
                <w:i w:val="0"/>
                <w:color w:val="000000"/>
                <w:sz w:val="16"/>
                <w:rFonts w:ascii="SimSun" w:hAnsi="SimSun" w:eastAsia="SimSun"/>
              </w:rPr>
              <w:t>2025-W40–W44</w:t>
            </w:r>
          </w:p>
        </w:tc>
        <w:tc>
          <w:tcPr>
            <w:tcW w:type="dxa" w:w="1177"/>
          </w:tcPr>
          <w:p>
            <w:pPr>
              <w:jc w:val="center"/>
            </w:pPr>
            <w:r>
              <w:rPr>
                <w:rFonts w:ascii="SimSun" w:hAnsi="SimSun"/>
                <w:b w:val="0"/>
                <w:i w:val="0"/>
                <w:color w:val="000000"/>
                <w:sz w:val="16"/>
                <w:rFonts w:ascii="SimSun" w:hAnsi="SimSun" w:eastAsia="SimSun"/>
              </w:rPr>
              <w:t>1.0541</w:t>
            </w:r>
          </w:p>
        </w:tc>
        <w:tc>
          <w:tcPr>
            <w:tcW w:type="dxa" w:w="1177"/>
          </w:tcPr>
          <w:p>
            <w:pPr>
              <w:jc w:val="center"/>
            </w:pPr>
            <w:r>
              <w:rPr>
                <w:rFonts w:ascii="SimSun" w:hAnsi="SimSun"/>
                <w:b w:val="0"/>
                <w:i w:val="0"/>
                <w:color w:val="000000"/>
                <w:sz w:val="16"/>
                <w:rFonts w:ascii="SimSun" w:hAnsi="SimSun" w:eastAsia="SimSun"/>
              </w:rPr>
              <w:t>0.0089</w:t>
            </w:r>
          </w:p>
        </w:tc>
        <w:tc>
          <w:tcPr>
            <w:tcW w:type="dxa" w:w="1177"/>
          </w:tcPr>
          <w:p>
            <w:pPr>
              <w:jc w:val="center"/>
            </w:pPr>
            <w:r>
              <w:rPr>
                <w:rFonts w:ascii="SimSun" w:hAnsi="SimSun"/>
                <w:b w:val="0"/>
                <w:i w:val="0"/>
                <w:color w:val="000000"/>
                <w:sz w:val="16"/>
                <w:rFonts w:ascii="SimSun" w:hAnsi="SimSun" w:eastAsia="SimSun"/>
              </w:rPr>
              <w:t>&gt;=1000</w:t>
            </w:r>
          </w:p>
        </w:tc>
        <w:tc>
          <w:tcPr>
            <w:tcW w:type="dxa" w:w="1177"/>
          </w:tcPr>
          <w:p>
            <w:pPr>
              <w:jc w:val="center"/>
            </w:pPr>
            <w:r>
              <w:rPr>
                <w:rFonts w:ascii="SimSun" w:hAnsi="SimSun"/>
                <w:b w:val="0"/>
                <w:i w:val="0"/>
                <w:color w:val="000000"/>
                <w:sz w:val="16"/>
                <w:rFonts w:ascii="SimSun" w:hAnsi="SimSun" w:eastAsia="SimSun"/>
              </w:rPr>
              <w:t>8.4 天</w:t>
            </w:r>
          </w:p>
        </w:tc>
        <w:tc>
          <w:tcPr>
            <w:tcW w:type="dxa" w:w="1177"/>
          </w:tcPr>
          <w:p>
            <w:pPr>
              <w:jc w:val="center"/>
            </w:pPr>
            <w:r>
              <w:rPr>
                <w:rFonts w:ascii="SimSun" w:hAnsi="SimSun"/>
                <w:b w:val="0"/>
                <w:i w:val="0"/>
                <w:color w:val="000000"/>
                <w:sz w:val="16"/>
                <w:rFonts w:ascii="SimSun" w:hAnsi="SimSun" w:eastAsia="SimSun"/>
              </w:rPr>
              <w:t>80.5 周 (67.1 代)</w:t>
            </w:r>
          </w:p>
        </w:tc>
        <w:tc>
          <w:tcPr>
            <w:tcW w:type="dxa" w:w="1177"/>
          </w:tcPr>
          <w:p>
            <w:pPr>
              <w:jc w:val="center"/>
            </w:pPr>
            <w:r>
              <w:rPr>
                <w:rFonts w:ascii="SimSun" w:hAnsi="SimSun"/>
                <w:b w:val="0"/>
                <w:i w:val="0"/>
                <w:color w:val="000000"/>
                <w:sz w:val="16"/>
                <w:rFonts w:ascii="SimSun" w:hAnsi="SimSun" w:eastAsia="SimSun"/>
              </w:rPr>
              <w:t>70.1 周 (58.4 代)*</w:t>
            </w:r>
          </w:p>
        </w:tc>
      </w:tr>
    </w:tbl>
    <w:p>
      <w:pPr>
        <w:spacing w:before="80" w:after="40" w:line="288" w:lineRule="auto"/>
        <w:jc w:val="center"/>
      </w:pPr>
      <w:r>
        <w:rPr>
          <w:rFonts w:ascii="SimHei" w:hAnsi="SimHei"/>
          <w:b/>
          <w:i w:val="0"/>
          <w:color w:val="000000"/>
          <w:sz w:val="19"/>
          <w:rFonts w:ascii="SimHei" w:hAnsi="SimHei" w:eastAsia="SimHei"/>
        </w:rPr>
        <w:t>表 2  美国三大呼吸道传染病典型阶段动力学参数与可预测视界测算</w:t>
      </w:r>
    </w:p>
    <w:p>
      <w:pPr>
        <w:spacing w:before="0" w:after="160" w:line="288" w:lineRule="auto"/>
        <w:jc w:val="left"/>
      </w:pPr>
      <w:r>
        <w:rPr>
          <w:rFonts w:ascii="SimSun" w:hAnsi="SimSun"/>
          <w:b w:val="0"/>
          <w:i/>
          <w:color w:val="000000"/>
          <w:sz w:val="16"/>
          <w:rFonts w:ascii="SimSun" w:hAnsi="SimSun" w:eastAsia="SimSun"/>
        </w:rPr>
        <w:t>注：δR 统一保留小数点后 4 位。代间隔 μ_g 取自权威文献共识与 CDC 设定：Delta 取 4.7 天（Hart et al. 2022），Omicron 取 3.0 天（Park et al. 2023），JN.1 取 3.5 天，流感取 3.2 天（Chan et al. 2025），RSV 取 8.4 天（Cohen et al. 2024）。95% 置信区间基于 2,000 次参数化 Bootstrap。* 标号表示 RSV 理论数学外推根受 16–20 周单流行季自然物理跨度截断约束。</w:t>
      </w:r>
    </w:p>
    <w:p>
      <w:pPr>
        <w:spacing w:before="200" w:after="80" w:line="288" w:lineRule="auto"/>
        <w:jc w:val="left"/>
      </w:pPr>
      <w:r>
        <w:rPr>
          <w:rFonts w:ascii="SimHei" w:hAnsi="SimHei"/>
          <w:b/>
          <w:i w:val="0"/>
          <w:color w:val="000000"/>
          <w:sz w:val="24"/>
          <w:rFonts w:ascii="SimHei" w:hAnsi="SimHei" w:eastAsia="SimHei"/>
        </w:rPr>
        <w:t>4.2  流行波次三相位对照分析：增长、达峰与消退</w:t>
      </w:r>
    </w:p>
    <w:p>
      <w:pPr>
        <w:spacing w:before="0" w:after="60" w:line="288" w:lineRule="auto"/>
        <w:ind w:firstLine="420"/>
        <w:jc w:val="left"/>
      </w:pPr>
      <w:r>
        <w:rPr>
          <w:rFonts w:ascii="SimSun" w:hAnsi="SimSun"/>
          <w:b w:val="0"/>
          <w:i w:val="0"/>
          <w:color w:val="000000"/>
          <w:sz w:val="21"/>
          <w:rFonts w:ascii="SimSun" w:hAnsi="SimSun" w:eastAsia="SimSun"/>
        </w:rPr>
        <w:t>为系统考察动力学相位对视界的调制效应，解耦“早期增长相位效应”与“跨相位内在边界”，本文开展了早期指数爬坡期（Growth Phase）、平台达峰期（Peak Phase）与消退期（Decline Phase）的三相位分层对照分析（表 3）。</w:t>
      </w:r>
    </w:p>
    <w:tbl>
      <w:tblPr>
        <w:tblW w:type="auto" w:w="0"/>
        <w:jc w:val="center"/>
        <w:tblLook w:firstColumn="1" w:firstRow="1" w:lastColumn="0" w:lastRow="0" w:noHBand="0" w:noVBand="1" w:val="04A0"/>
        <w:tblBorders>
          <w:top w:val="single" w:sz="12" w:space="0" w:color="000000"/>
          <w:bottom w:val="single" w:sz="12" w:space="0" w:color="000000"/>
          <w:insideH w:val="none"/>
          <w:insideV w:val="none"/>
          <w:left w:val="none"/>
          <w:right w:val="none"/>
        </w:tblBorders>
      </w:tblPr>
      <w:tblGrid>
        <w:gridCol w:w="1046"/>
        <w:gridCol w:w="1046"/>
        <w:gridCol w:w="1046"/>
        <w:gridCol w:w="1046"/>
        <w:gridCol w:w="1046"/>
        <w:gridCol w:w="1046"/>
        <w:gridCol w:w="1046"/>
        <w:gridCol w:w="1046"/>
        <w:gridCol w:w="1046"/>
      </w:tblGrid>
      <w:tr>
        <w:tc>
          <w:tcPr>
            <w:tcW w:type="dxa" w:w="1046"/>
            <w:tcBorders>
              <w:bottom w:val="single" w:sz="6" w:space="0" w:color="000000"/>
            </w:tcBorders>
          </w:tcPr>
          <w:p>
            <w:pPr>
              <w:jc w:val="center"/>
            </w:pPr>
            <w:r>
              <w:rPr>
                <w:rFonts w:ascii="SimHei" w:hAnsi="SimHei"/>
                <w:b/>
                <w:i w:val="0"/>
                <w:color w:val="000000"/>
                <w:sz w:val="17"/>
                <w:rFonts w:ascii="SimHei" w:hAnsi="SimHei" w:eastAsia="SimHei"/>
              </w:rPr>
              <w:t>病原体 / 阶段</w:t>
            </w:r>
          </w:p>
        </w:tc>
        <w:tc>
          <w:tcPr>
            <w:tcW w:type="dxa" w:w="1046"/>
            <w:tcBorders>
              <w:bottom w:val="single" w:sz="6" w:space="0" w:color="000000"/>
            </w:tcBorders>
          </w:tcPr>
          <w:p>
            <w:pPr>
              <w:jc w:val="center"/>
            </w:pPr>
            <w:r>
              <w:rPr>
                <w:rFonts w:ascii="SimHei" w:hAnsi="SimHei"/>
                <w:b/>
                <w:i w:val="0"/>
                <w:color w:val="000000"/>
                <w:sz w:val="17"/>
                <w:rFonts w:ascii="SimHei" w:hAnsi="SimHei" w:eastAsia="SimHei"/>
              </w:rPr>
              <w:t>动力学相位</w:t>
            </w:r>
          </w:p>
        </w:tc>
        <w:tc>
          <w:tcPr>
            <w:tcW w:type="dxa" w:w="1046"/>
            <w:tcBorders>
              <w:bottom w:val="single" w:sz="6" w:space="0" w:color="000000"/>
            </w:tcBorders>
          </w:tcPr>
          <w:p>
            <w:pPr>
              <w:jc w:val="center"/>
            </w:pPr>
            <w:r>
              <w:rPr>
                <w:rFonts w:ascii="SimHei" w:hAnsi="SimHei"/>
                <w:b/>
                <w:i w:val="0"/>
                <w:color w:val="000000"/>
                <w:sz w:val="17"/>
                <w:rFonts w:ascii="SimHei" w:hAnsi="SimHei" w:eastAsia="SimHei"/>
              </w:rPr>
              <w:t>观测日历窗口</w:t>
            </w:r>
          </w:p>
        </w:tc>
        <w:tc>
          <w:tcPr>
            <w:tcW w:type="dxa" w:w="1046"/>
            <w:tcBorders>
              <w:bottom w:val="single" w:sz="6" w:space="0" w:color="000000"/>
            </w:tcBorders>
          </w:tcPr>
          <w:p>
            <w:pPr>
              <w:jc w:val="center"/>
            </w:pPr>
            <w:r>
              <w:rPr>
                <w:rFonts w:ascii="SimHei" w:hAnsi="SimHei"/>
                <w:b/>
                <w:i w:val="0"/>
                <w:color w:val="000000"/>
                <w:sz w:val="17"/>
                <w:rFonts w:ascii="SimHei" w:hAnsi="SimHei" w:eastAsia="SimHei"/>
              </w:rPr>
              <w:t>再生数 R</w:t>
            </w:r>
          </w:p>
        </w:tc>
        <w:tc>
          <w:tcPr>
            <w:tcW w:type="dxa" w:w="1046"/>
            <w:tcBorders>
              <w:bottom w:val="single" w:sz="6" w:space="0" w:color="000000"/>
            </w:tcBorders>
          </w:tcPr>
          <w:p>
            <w:pPr>
              <w:jc w:val="center"/>
            </w:pPr>
            <w:r>
              <w:rPr>
                <w:rFonts w:ascii="SimHei" w:hAnsi="SimHei"/>
                <w:b/>
                <w:i w:val="0"/>
                <w:color w:val="000000"/>
                <w:sz w:val="17"/>
                <w:rFonts w:ascii="SimHei" w:hAnsi="SimHei" w:eastAsia="SimHei"/>
              </w:rPr>
              <w:t>标准误 δR</w:t>
            </w:r>
          </w:p>
        </w:tc>
        <w:tc>
          <w:tcPr>
            <w:tcW w:type="dxa" w:w="1046"/>
            <w:tcBorders>
              <w:bottom w:val="single" w:sz="6" w:space="0" w:color="000000"/>
            </w:tcBorders>
          </w:tcPr>
          <w:p>
            <w:pPr>
              <w:jc w:val="center"/>
            </w:pPr>
            <w:r>
              <w:rPr>
                <w:rFonts w:ascii="SimHei" w:hAnsi="SimHei"/>
                <w:b/>
                <w:i w:val="0"/>
                <w:color w:val="000000"/>
                <w:sz w:val="17"/>
                <w:rFonts w:ascii="SimHei" w:hAnsi="SimHei" w:eastAsia="SimHei"/>
              </w:rPr>
              <w:t>过度离散 k</w:t>
            </w:r>
          </w:p>
        </w:tc>
        <w:tc>
          <w:tcPr>
            <w:tcW w:type="dxa" w:w="1046"/>
            <w:tcBorders>
              <w:bottom w:val="single" w:sz="6" w:space="0" w:color="000000"/>
            </w:tcBorders>
          </w:tcPr>
          <w:p>
            <w:pPr>
              <w:jc w:val="center"/>
            </w:pPr>
            <w:r>
              <w:rPr>
                <w:rFonts w:ascii="SimHei" w:hAnsi="SimHei"/>
                <w:b/>
                <w:i w:val="0"/>
                <w:color w:val="000000"/>
                <w:sz w:val="17"/>
                <w:rFonts w:ascii="SimHei" w:hAnsi="SimHei" w:eastAsia="SimHei"/>
              </w:rPr>
              <w:t>初始发病 I_0</w:t>
            </w:r>
          </w:p>
        </w:tc>
        <w:tc>
          <w:tcPr>
            <w:tcW w:type="dxa" w:w="1046"/>
            <w:tcBorders>
              <w:bottom w:val="single" w:sz="6" w:space="0" w:color="000000"/>
            </w:tcBorders>
          </w:tcPr>
          <w:p>
            <w:pPr>
              <w:jc w:val="center"/>
            </w:pPr>
            <w:r>
              <w:rPr>
                <w:rFonts w:ascii="SimHei" w:hAnsi="SimHei"/>
                <w:b/>
                <w:i w:val="0"/>
                <w:color w:val="000000"/>
                <w:sz w:val="17"/>
                <w:rFonts w:ascii="SimHei" w:hAnsi="SimHei" w:eastAsia="SimHei"/>
              </w:rPr>
              <w:t>精确视界 h*_exact</w:t>
            </w:r>
          </w:p>
        </w:tc>
        <w:tc>
          <w:tcPr>
            <w:tcW w:type="dxa" w:w="1046"/>
            <w:tcBorders>
              <w:bottom w:val="single" w:sz="6" w:space="0" w:color="000000"/>
            </w:tcBorders>
          </w:tcPr>
          <w:p>
            <w:pPr>
              <w:jc w:val="center"/>
            </w:pPr>
            <w:r>
              <w:rPr>
                <w:rFonts w:ascii="SimHei" w:hAnsi="SimHei"/>
                <w:b/>
                <w:i w:val="0"/>
                <w:color w:val="000000"/>
                <w:sz w:val="17"/>
                <w:rFonts w:ascii="SimHei" w:hAnsi="SimHei" w:eastAsia="SimHei"/>
              </w:rPr>
              <w:t>动力学机制特征</w:t>
            </w:r>
          </w:p>
        </w:tc>
      </w:tr>
      <w:tr>
        <w:tc>
          <w:tcPr>
            <w:tcW w:type="dxa" w:w="1046"/>
          </w:tcPr>
          <w:p>
            <w:pPr>
              <w:jc w:val="left"/>
            </w:pPr>
            <w:r>
              <w:rPr>
                <w:rFonts w:ascii="SimSun" w:hAnsi="SimSun"/>
                <w:b w:val="0"/>
                <w:i w:val="0"/>
                <w:color w:val="000000"/>
                <w:sz w:val="16"/>
                <w:rFonts w:ascii="SimSun" w:hAnsi="SimSun" w:eastAsia="SimSun"/>
              </w:rPr>
              <w:t>COVID-19 Delta 阶段</w:t>
            </w:r>
          </w:p>
        </w:tc>
        <w:tc>
          <w:tcPr>
            <w:tcW w:type="dxa" w:w="1046"/>
          </w:tcPr>
          <w:p>
            <w:pPr>
              <w:jc w:val="center"/>
            </w:pPr>
            <w:r>
              <w:rPr>
                <w:rFonts w:ascii="SimSun" w:hAnsi="SimSun"/>
                <w:b w:val="0"/>
                <w:i w:val="0"/>
                <w:color w:val="000000"/>
                <w:sz w:val="16"/>
                <w:rFonts w:ascii="SimSun" w:hAnsi="SimSun" w:eastAsia="SimSun"/>
              </w:rPr>
              <w:t>早期指数爬坡期</w:t>
            </w:r>
          </w:p>
        </w:tc>
        <w:tc>
          <w:tcPr>
            <w:tcW w:type="dxa" w:w="1046"/>
          </w:tcPr>
          <w:p>
            <w:pPr>
              <w:jc w:val="center"/>
            </w:pPr>
            <w:r>
              <w:rPr>
                <w:rFonts w:ascii="SimSun" w:hAnsi="SimSun"/>
                <w:b w:val="0"/>
                <w:i w:val="0"/>
                <w:color w:val="000000"/>
                <w:sz w:val="16"/>
                <w:rFonts w:ascii="SimSun" w:hAnsi="SimSun" w:eastAsia="SimSun"/>
              </w:rPr>
              <w:t>2021-W26 至 W30</w:t>
            </w:r>
          </w:p>
        </w:tc>
        <w:tc>
          <w:tcPr>
            <w:tcW w:type="dxa" w:w="1046"/>
          </w:tcPr>
          <w:p>
            <w:pPr>
              <w:jc w:val="center"/>
            </w:pPr>
            <w:r>
              <w:rPr>
                <w:rFonts w:ascii="SimSun" w:hAnsi="SimSun"/>
                <w:b w:val="0"/>
                <w:i w:val="0"/>
                <w:color w:val="000000"/>
                <w:sz w:val="16"/>
                <w:rFonts w:ascii="SimSun" w:hAnsi="SimSun" w:eastAsia="SimSun"/>
              </w:rPr>
              <w:t>1.3149</w:t>
            </w:r>
          </w:p>
        </w:tc>
        <w:tc>
          <w:tcPr>
            <w:tcW w:type="dxa" w:w="1046"/>
          </w:tcPr>
          <w:p>
            <w:pPr>
              <w:jc w:val="center"/>
            </w:pPr>
            <w:r>
              <w:rPr>
                <w:rFonts w:ascii="SimSun" w:hAnsi="SimSun"/>
                <w:b w:val="0"/>
                <w:i w:val="0"/>
                <w:color w:val="000000"/>
                <w:sz w:val="16"/>
                <w:rFonts w:ascii="SimSun" w:hAnsi="SimSun" w:eastAsia="SimSun"/>
              </w:rPr>
              <w:t>0.0285</w:t>
            </w:r>
          </w:p>
        </w:tc>
        <w:tc>
          <w:tcPr>
            <w:tcW w:type="dxa" w:w="1046"/>
          </w:tcPr>
          <w:p>
            <w:pPr>
              <w:jc w:val="center"/>
            </w:pPr>
            <w:r>
              <w:rPr>
                <w:rFonts w:ascii="SimSun" w:hAnsi="SimSun"/>
                <w:b w:val="0"/>
                <w:i w:val="0"/>
                <w:color w:val="000000"/>
                <w:sz w:val="16"/>
                <w:rFonts w:ascii="SimSun" w:hAnsi="SimSun" w:eastAsia="SimSun"/>
              </w:rPr>
              <w:t>223.2</w:t>
            </w:r>
          </w:p>
        </w:tc>
        <w:tc>
          <w:tcPr>
            <w:tcW w:type="dxa" w:w="1046"/>
          </w:tcPr>
          <w:p>
            <w:pPr>
              <w:jc w:val="center"/>
            </w:pPr>
            <w:r>
              <w:rPr>
                <w:rFonts w:ascii="SimSun" w:hAnsi="SimSun"/>
                <w:b w:val="0"/>
                <w:i w:val="0"/>
                <w:color w:val="000000"/>
                <w:sz w:val="16"/>
                <w:rFonts w:ascii="SimSun" w:hAnsi="SimSun" w:eastAsia="SimSun"/>
              </w:rPr>
              <w:t>28,347</w:t>
            </w:r>
          </w:p>
        </w:tc>
        <w:tc>
          <w:tcPr>
            <w:tcW w:type="dxa" w:w="1046"/>
          </w:tcPr>
          <w:p>
            <w:pPr>
              <w:jc w:val="center"/>
            </w:pPr>
            <w:r>
              <w:rPr>
                <w:rFonts w:ascii="SimSun" w:hAnsi="SimSun"/>
                <w:b w:val="0"/>
                <w:i w:val="0"/>
                <w:color w:val="000000"/>
                <w:sz w:val="16"/>
                <w:rFonts w:ascii="SimSun" w:hAnsi="SimSun" w:eastAsia="SimSun"/>
              </w:rPr>
              <w:t>13.5 周 (20.1 代)</w:t>
            </w:r>
          </w:p>
        </w:tc>
        <w:tc>
          <w:tcPr>
            <w:tcW w:type="dxa" w:w="1046"/>
          </w:tcPr>
          <w:p>
            <w:pPr>
              <w:jc w:val="left"/>
            </w:pPr>
            <w:r>
              <w:rPr>
                <w:rFonts w:ascii="SimSun" w:hAnsi="SimSun"/>
                <w:b w:val="0"/>
                <w:i w:val="0"/>
                <w:color w:val="000000"/>
                <w:sz w:val="16"/>
                <w:rFonts w:ascii="SimSun" w:hAnsi="SimSun" w:eastAsia="SimSun"/>
              </w:rPr>
              <w:t>强超临界增长，信噪比充沛，视界良定。</w:t>
            </w:r>
          </w:p>
        </w:tc>
      </w:tr>
      <w:tr>
        <w:tc>
          <w:tcPr>
            <w:tcW w:type="dxa" w:w="1046"/>
          </w:tcPr>
          <w:p>
            <w:pPr>
              <w:jc w:val="left"/>
            </w:pPr>
            <w:r>
              <w:rPr>
                <w:rFonts w:ascii="SimSun" w:hAnsi="SimSun"/>
                <w:b w:val="0"/>
                <w:i w:val="0"/>
                <w:color w:val="000000"/>
                <w:sz w:val="16"/>
                <w:rFonts w:ascii="SimSun" w:hAnsi="SimSun" w:eastAsia="SimSun"/>
              </w:rPr>
            </w:r>
          </w:p>
        </w:tc>
        <w:tc>
          <w:tcPr>
            <w:tcW w:type="dxa" w:w="1046"/>
          </w:tcPr>
          <w:p>
            <w:pPr>
              <w:jc w:val="center"/>
            </w:pPr>
            <w:r>
              <w:rPr>
                <w:rFonts w:ascii="SimSun" w:hAnsi="SimSun"/>
                <w:b w:val="0"/>
                <w:i w:val="0"/>
                <w:color w:val="000000"/>
                <w:sz w:val="16"/>
                <w:rFonts w:ascii="SimSun" w:hAnsi="SimSun" w:eastAsia="SimSun"/>
              </w:rPr>
              <w:t>平台达峰期</w:t>
            </w:r>
          </w:p>
        </w:tc>
        <w:tc>
          <w:tcPr>
            <w:tcW w:type="dxa" w:w="1046"/>
          </w:tcPr>
          <w:p>
            <w:pPr>
              <w:jc w:val="center"/>
            </w:pPr>
            <w:r>
              <w:rPr>
                <w:rFonts w:ascii="SimSun" w:hAnsi="SimSun"/>
                <w:b w:val="0"/>
                <w:i w:val="0"/>
                <w:color w:val="000000"/>
                <w:sz w:val="16"/>
                <w:rFonts w:ascii="SimSun" w:hAnsi="SimSun" w:eastAsia="SimSun"/>
              </w:rPr>
              <w:t>2021-W35 至 W39</w:t>
            </w:r>
          </w:p>
        </w:tc>
        <w:tc>
          <w:tcPr>
            <w:tcW w:type="dxa" w:w="1046"/>
          </w:tcPr>
          <w:p>
            <w:pPr>
              <w:jc w:val="center"/>
            </w:pPr>
            <w:r>
              <w:rPr>
                <w:rFonts w:ascii="SimSun" w:hAnsi="SimSun"/>
                <w:b w:val="0"/>
                <w:i w:val="0"/>
                <w:color w:val="000000"/>
                <w:sz w:val="16"/>
                <w:rFonts w:ascii="SimSun" w:hAnsi="SimSun" w:eastAsia="SimSun"/>
              </w:rPr>
              <w:t>1.0820</w:t>
            </w:r>
          </w:p>
        </w:tc>
        <w:tc>
          <w:tcPr>
            <w:tcW w:type="dxa" w:w="1046"/>
          </w:tcPr>
          <w:p>
            <w:pPr>
              <w:jc w:val="center"/>
            </w:pPr>
            <w:r>
              <w:rPr>
                <w:rFonts w:ascii="SimSun" w:hAnsi="SimSun"/>
                <w:b w:val="0"/>
                <w:i w:val="0"/>
                <w:color w:val="000000"/>
                <w:sz w:val="16"/>
                <w:rFonts w:ascii="SimSun" w:hAnsi="SimSun" w:eastAsia="SimSun"/>
              </w:rPr>
              <w:t>0.0410</w:t>
            </w:r>
          </w:p>
        </w:tc>
        <w:tc>
          <w:tcPr>
            <w:tcW w:type="dxa" w:w="1046"/>
          </w:tcPr>
          <w:p>
            <w:pPr>
              <w:jc w:val="center"/>
            </w:pPr>
            <w:r>
              <w:rPr>
                <w:rFonts w:ascii="SimSun" w:hAnsi="SimSun"/>
                <w:b w:val="0"/>
                <w:i w:val="0"/>
                <w:color w:val="000000"/>
                <w:sz w:val="16"/>
                <w:rFonts w:ascii="SimSun" w:hAnsi="SimSun" w:eastAsia="SimSun"/>
              </w:rPr>
              <w:t>223.2</w:t>
            </w:r>
          </w:p>
        </w:tc>
        <w:tc>
          <w:tcPr>
            <w:tcW w:type="dxa" w:w="1046"/>
          </w:tcPr>
          <w:p>
            <w:pPr>
              <w:jc w:val="center"/>
            </w:pPr>
            <w:r>
              <w:rPr>
                <w:rFonts w:ascii="SimSun" w:hAnsi="SimSun"/>
                <w:b w:val="0"/>
                <w:i w:val="0"/>
                <w:color w:val="000000"/>
                <w:sz w:val="16"/>
                <w:rFonts w:ascii="SimSun" w:hAnsi="SimSun" w:eastAsia="SimSun"/>
              </w:rPr>
              <w:t>28,347</w:t>
            </w:r>
          </w:p>
        </w:tc>
        <w:tc>
          <w:tcPr>
            <w:tcW w:type="dxa" w:w="1046"/>
          </w:tcPr>
          <w:p>
            <w:pPr>
              <w:jc w:val="center"/>
            </w:pPr>
            <w:r>
              <w:rPr>
                <w:rFonts w:ascii="SimSun" w:hAnsi="SimSun"/>
                <w:b w:val="0"/>
                <w:i w:val="0"/>
                <w:color w:val="000000"/>
                <w:sz w:val="16"/>
                <w:rFonts w:ascii="SimSun" w:hAnsi="SimSun" w:eastAsia="SimSun"/>
              </w:rPr>
              <w:t>7.8 周 (11.6 代)</w:t>
            </w:r>
          </w:p>
        </w:tc>
        <w:tc>
          <w:tcPr>
            <w:tcW w:type="dxa" w:w="1046"/>
          </w:tcPr>
          <w:p>
            <w:pPr>
              <w:jc w:val="left"/>
            </w:pPr>
            <w:r>
              <w:rPr>
                <w:rFonts w:ascii="SimSun" w:hAnsi="SimSun"/>
                <w:b w:val="0"/>
                <w:i w:val="0"/>
                <w:color w:val="000000"/>
                <w:sz w:val="16"/>
                <w:rFonts w:ascii="SimSun" w:hAnsi="SimSun" w:eastAsia="SimSun"/>
              </w:rPr>
              <w:t>有效再生数逼近临界阈值，视界收缩约 42%。</w:t>
            </w:r>
          </w:p>
        </w:tc>
      </w:tr>
      <w:tr>
        <w:tc>
          <w:tcPr>
            <w:tcW w:type="dxa" w:w="1046"/>
          </w:tcPr>
          <w:p>
            <w:pPr>
              <w:jc w:val="left"/>
            </w:pPr>
            <w:r>
              <w:rPr>
                <w:rFonts w:ascii="SimSun" w:hAnsi="SimSun"/>
                <w:b w:val="0"/>
                <w:i w:val="0"/>
                <w:color w:val="000000"/>
                <w:sz w:val="16"/>
                <w:rFonts w:ascii="SimSun" w:hAnsi="SimSun" w:eastAsia="SimSun"/>
              </w:rPr>
            </w:r>
          </w:p>
        </w:tc>
        <w:tc>
          <w:tcPr>
            <w:tcW w:type="dxa" w:w="1046"/>
          </w:tcPr>
          <w:p>
            <w:pPr>
              <w:jc w:val="center"/>
            </w:pPr>
            <w:r>
              <w:rPr>
                <w:rFonts w:ascii="SimSun" w:hAnsi="SimSun"/>
                <w:b w:val="0"/>
                <w:i w:val="0"/>
                <w:color w:val="000000"/>
                <w:sz w:val="16"/>
                <w:rFonts w:ascii="SimSun" w:hAnsi="SimSun" w:eastAsia="SimSun"/>
              </w:rPr>
              <w:t>拐点消退期</w:t>
            </w:r>
          </w:p>
        </w:tc>
        <w:tc>
          <w:tcPr>
            <w:tcW w:type="dxa" w:w="1046"/>
          </w:tcPr>
          <w:p>
            <w:pPr>
              <w:jc w:val="center"/>
            </w:pPr>
            <w:r>
              <w:rPr>
                <w:rFonts w:ascii="SimSun" w:hAnsi="SimSun"/>
                <w:b w:val="0"/>
                <w:i w:val="0"/>
                <w:color w:val="000000"/>
                <w:sz w:val="16"/>
                <w:rFonts w:ascii="SimSun" w:hAnsi="SimSun" w:eastAsia="SimSun"/>
              </w:rPr>
              <w:t>2021-W41 至 W45</w:t>
            </w:r>
          </w:p>
        </w:tc>
        <w:tc>
          <w:tcPr>
            <w:tcW w:type="dxa" w:w="1046"/>
          </w:tcPr>
          <w:p>
            <w:pPr>
              <w:jc w:val="center"/>
            </w:pPr>
            <w:r>
              <w:rPr>
                <w:rFonts w:ascii="SimSun" w:hAnsi="SimSun"/>
                <w:b w:val="0"/>
                <w:i w:val="0"/>
                <w:color w:val="000000"/>
                <w:sz w:val="16"/>
                <w:rFonts w:ascii="SimSun" w:hAnsi="SimSun" w:eastAsia="SimSun"/>
              </w:rPr>
              <w:t>0.8850</w:t>
            </w:r>
          </w:p>
        </w:tc>
        <w:tc>
          <w:tcPr>
            <w:tcW w:type="dxa" w:w="1046"/>
          </w:tcPr>
          <w:p>
            <w:pPr>
              <w:jc w:val="center"/>
            </w:pPr>
            <w:r>
              <w:rPr>
                <w:rFonts w:ascii="SimSun" w:hAnsi="SimSun"/>
                <w:b w:val="0"/>
                <w:i w:val="0"/>
                <w:color w:val="000000"/>
                <w:sz w:val="16"/>
                <w:rFonts w:ascii="SimSun" w:hAnsi="SimSun" w:eastAsia="SimSun"/>
              </w:rPr>
              <w:t>0.0350</w:t>
            </w:r>
          </w:p>
        </w:tc>
        <w:tc>
          <w:tcPr>
            <w:tcW w:type="dxa" w:w="1046"/>
          </w:tcPr>
          <w:p>
            <w:pPr>
              <w:jc w:val="center"/>
            </w:pPr>
            <w:r>
              <w:rPr>
                <w:rFonts w:ascii="SimSun" w:hAnsi="SimSun"/>
                <w:b w:val="0"/>
                <w:i w:val="0"/>
                <w:color w:val="000000"/>
                <w:sz w:val="16"/>
                <w:rFonts w:ascii="SimSun" w:hAnsi="SimSun" w:eastAsia="SimSun"/>
              </w:rPr>
              <w:t>223.2</w:t>
            </w:r>
          </w:p>
        </w:tc>
        <w:tc>
          <w:tcPr>
            <w:tcW w:type="dxa" w:w="1046"/>
          </w:tcPr>
          <w:p>
            <w:pPr>
              <w:jc w:val="center"/>
            </w:pPr>
            <w:r>
              <w:rPr>
                <w:rFonts w:ascii="SimSun" w:hAnsi="SimSun"/>
                <w:b w:val="0"/>
                <w:i w:val="0"/>
                <w:color w:val="000000"/>
                <w:sz w:val="16"/>
                <w:rFonts w:ascii="SimSun" w:hAnsi="SimSun" w:eastAsia="SimSun"/>
              </w:rPr>
              <w:t>28,347</w:t>
            </w:r>
          </w:p>
        </w:tc>
        <w:tc>
          <w:tcPr>
            <w:tcW w:type="dxa" w:w="1046"/>
          </w:tcPr>
          <w:p>
            <w:pPr>
              <w:jc w:val="center"/>
            </w:pPr>
            <w:r>
              <w:rPr>
                <w:rFonts w:ascii="SimSun" w:hAnsi="SimSun"/>
                <w:b w:val="0"/>
                <w:i w:val="0"/>
                <w:color w:val="000000"/>
                <w:sz w:val="16"/>
                <w:rFonts w:ascii="SimSun" w:hAnsi="SimSun" w:eastAsia="SimSun"/>
              </w:rPr>
              <w:t>7.5 周 (11.1 代)*</w:t>
            </w:r>
          </w:p>
        </w:tc>
        <w:tc>
          <w:tcPr>
            <w:tcW w:type="dxa" w:w="1046"/>
          </w:tcPr>
          <w:p>
            <w:pPr>
              <w:jc w:val="left"/>
            </w:pPr>
            <w:r>
              <w:rPr>
                <w:rFonts w:ascii="SimSun" w:hAnsi="SimSun"/>
                <w:b w:val="0"/>
                <w:i w:val="0"/>
                <w:color w:val="000000"/>
                <w:sz w:val="16"/>
                <w:rFonts w:ascii="SimSun" w:hAnsi="SimSun" w:eastAsia="SimSun"/>
              </w:rPr>
              <w:t>亚临界消退体制，发病期望衰退向吸收态转移。</w:t>
            </w:r>
          </w:p>
        </w:tc>
      </w:tr>
      <w:tr>
        <w:tc>
          <w:tcPr>
            <w:tcW w:type="dxa" w:w="1046"/>
          </w:tcPr>
          <w:p>
            <w:pPr>
              <w:jc w:val="left"/>
            </w:pPr>
            <w:r>
              <w:rPr>
                <w:rFonts w:ascii="SimSun" w:hAnsi="SimSun"/>
                <w:b w:val="0"/>
                <w:i w:val="0"/>
                <w:color w:val="000000"/>
                <w:sz w:val="16"/>
                <w:rFonts w:ascii="SimSun" w:hAnsi="SimSun" w:eastAsia="SimSun"/>
              </w:rPr>
              <w:t>COVID-19 Omicron 阶段</w:t>
            </w:r>
          </w:p>
        </w:tc>
        <w:tc>
          <w:tcPr>
            <w:tcW w:type="dxa" w:w="1046"/>
          </w:tcPr>
          <w:p>
            <w:pPr>
              <w:jc w:val="center"/>
            </w:pPr>
            <w:r>
              <w:rPr>
                <w:rFonts w:ascii="SimSun" w:hAnsi="SimSun"/>
                <w:b w:val="0"/>
                <w:i w:val="0"/>
                <w:color w:val="000000"/>
                <w:sz w:val="16"/>
                <w:rFonts w:ascii="SimSun" w:hAnsi="SimSun" w:eastAsia="SimSun"/>
              </w:rPr>
              <w:t>早期爆发爬坡期</w:t>
            </w:r>
          </w:p>
        </w:tc>
        <w:tc>
          <w:tcPr>
            <w:tcW w:type="dxa" w:w="1046"/>
          </w:tcPr>
          <w:p>
            <w:pPr>
              <w:jc w:val="center"/>
            </w:pPr>
            <w:r>
              <w:rPr>
                <w:rFonts w:ascii="SimSun" w:hAnsi="SimSun"/>
                <w:b w:val="0"/>
                <w:i w:val="0"/>
                <w:color w:val="000000"/>
                <w:sz w:val="16"/>
                <w:rFonts w:ascii="SimSun" w:hAnsi="SimSun" w:eastAsia="SimSun"/>
              </w:rPr>
              <w:t>2021-W49 至 2022-W03</w:t>
            </w:r>
          </w:p>
        </w:tc>
        <w:tc>
          <w:tcPr>
            <w:tcW w:type="dxa" w:w="1046"/>
          </w:tcPr>
          <w:p>
            <w:pPr>
              <w:jc w:val="center"/>
            </w:pPr>
            <w:r>
              <w:rPr>
                <w:rFonts w:ascii="SimSun" w:hAnsi="SimSun"/>
                <w:b w:val="0"/>
                <w:i w:val="0"/>
                <w:color w:val="000000"/>
                <w:sz w:val="16"/>
                <w:rFonts w:ascii="SimSun" w:hAnsi="SimSun" w:eastAsia="SimSun"/>
              </w:rPr>
              <w:t>1.1632</w:t>
            </w:r>
          </w:p>
        </w:tc>
        <w:tc>
          <w:tcPr>
            <w:tcW w:type="dxa" w:w="1046"/>
          </w:tcPr>
          <w:p>
            <w:pPr>
              <w:jc w:val="center"/>
            </w:pPr>
            <w:r>
              <w:rPr>
                <w:rFonts w:ascii="SimSun" w:hAnsi="SimSun"/>
                <w:b w:val="0"/>
                <w:i w:val="0"/>
                <w:color w:val="000000"/>
                <w:sz w:val="16"/>
                <w:rFonts w:ascii="SimSun" w:hAnsi="SimSun" w:eastAsia="SimSun"/>
              </w:rPr>
              <w:t>0.0762</w:t>
            </w:r>
          </w:p>
        </w:tc>
        <w:tc>
          <w:tcPr>
            <w:tcW w:type="dxa" w:w="1046"/>
          </w:tcPr>
          <w:p>
            <w:pPr>
              <w:jc w:val="center"/>
            </w:pPr>
            <w:r>
              <w:rPr>
                <w:rFonts w:ascii="SimSun" w:hAnsi="SimSun"/>
                <w:b w:val="0"/>
                <w:i w:val="0"/>
                <w:color w:val="000000"/>
                <w:sz w:val="16"/>
                <w:rFonts w:ascii="SimSun" w:hAnsi="SimSun" w:eastAsia="SimSun"/>
              </w:rPr>
              <w:t>50.0</w:t>
            </w:r>
          </w:p>
        </w:tc>
        <w:tc>
          <w:tcPr>
            <w:tcW w:type="dxa" w:w="1046"/>
          </w:tcPr>
          <w:p>
            <w:pPr>
              <w:jc w:val="center"/>
            </w:pPr>
            <w:r>
              <w:rPr>
                <w:rFonts w:ascii="SimSun" w:hAnsi="SimSun"/>
                <w:b w:val="0"/>
                <w:i w:val="0"/>
                <w:color w:val="000000"/>
                <w:sz w:val="16"/>
                <w:rFonts w:ascii="SimSun" w:hAnsi="SimSun" w:eastAsia="SimSun"/>
              </w:rPr>
              <w:t>66,275</w:t>
            </w:r>
          </w:p>
        </w:tc>
        <w:tc>
          <w:tcPr>
            <w:tcW w:type="dxa" w:w="1046"/>
          </w:tcPr>
          <w:p>
            <w:pPr>
              <w:jc w:val="center"/>
            </w:pPr>
            <w:r>
              <w:rPr>
                <w:rFonts w:ascii="SimSun" w:hAnsi="SimSun"/>
                <w:b w:val="0"/>
                <w:i w:val="0"/>
                <w:color w:val="000000"/>
                <w:sz w:val="16"/>
                <w:rFonts w:ascii="SimSun" w:hAnsi="SimSun" w:eastAsia="SimSun"/>
              </w:rPr>
              <w:t>2.9 周 (6.8 代)</w:t>
            </w:r>
          </w:p>
        </w:tc>
        <w:tc>
          <w:tcPr>
            <w:tcW w:type="dxa" w:w="1046"/>
          </w:tcPr>
          <w:p>
            <w:pPr>
              <w:jc w:val="left"/>
            </w:pPr>
            <w:r>
              <w:rPr>
                <w:rFonts w:ascii="SimSun" w:hAnsi="SimSun"/>
                <w:b w:val="0"/>
                <w:i w:val="0"/>
                <w:color w:val="000000"/>
                <w:sz w:val="16"/>
                <w:rFonts w:ascii="SimSun" w:hAnsi="SimSun" w:eastAsia="SimSun"/>
              </w:rPr>
              <w:t>高传播超分散株，推断方差大，视界极度承压。</w:t>
            </w:r>
          </w:p>
        </w:tc>
      </w:tr>
      <w:tr>
        <w:tc>
          <w:tcPr>
            <w:tcW w:type="dxa" w:w="1046"/>
          </w:tcPr>
          <w:p>
            <w:pPr>
              <w:jc w:val="left"/>
            </w:pPr>
            <w:r>
              <w:rPr>
                <w:rFonts w:ascii="SimSun" w:hAnsi="SimSun"/>
                <w:b w:val="0"/>
                <w:i w:val="0"/>
                <w:color w:val="000000"/>
                <w:sz w:val="16"/>
                <w:rFonts w:ascii="SimSun" w:hAnsi="SimSun" w:eastAsia="SimSun"/>
              </w:rPr>
            </w:r>
          </w:p>
        </w:tc>
        <w:tc>
          <w:tcPr>
            <w:tcW w:type="dxa" w:w="1046"/>
          </w:tcPr>
          <w:p>
            <w:pPr>
              <w:jc w:val="center"/>
            </w:pPr>
            <w:r>
              <w:rPr>
                <w:rFonts w:ascii="SimSun" w:hAnsi="SimSun"/>
                <w:b w:val="0"/>
                <w:i w:val="0"/>
                <w:color w:val="000000"/>
                <w:sz w:val="16"/>
                <w:rFonts w:ascii="SimSun" w:hAnsi="SimSun" w:eastAsia="SimSun"/>
              </w:rPr>
              <w:t>达峰消退期</w:t>
            </w:r>
          </w:p>
        </w:tc>
        <w:tc>
          <w:tcPr>
            <w:tcW w:type="dxa" w:w="1046"/>
          </w:tcPr>
          <w:p>
            <w:pPr>
              <w:jc w:val="center"/>
            </w:pPr>
            <w:r>
              <w:rPr>
                <w:rFonts w:ascii="SimSun" w:hAnsi="SimSun"/>
                <w:b w:val="0"/>
                <w:i w:val="0"/>
                <w:color w:val="000000"/>
                <w:sz w:val="16"/>
                <w:rFonts w:ascii="SimSun" w:hAnsi="SimSun" w:eastAsia="SimSun"/>
              </w:rPr>
              <w:t>2022-W04 至 W08</w:t>
            </w:r>
          </w:p>
        </w:tc>
        <w:tc>
          <w:tcPr>
            <w:tcW w:type="dxa" w:w="1046"/>
          </w:tcPr>
          <w:p>
            <w:pPr>
              <w:jc w:val="center"/>
            </w:pPr>
            <w:r>
              <w:rPr>
                <w:rFonts w:ascii="SimSun" w:hAnsi="SimSun"/>
                <w:b w:val="0"/>
                <w:i w:val="0"/>
                <w:color w:val="000000"/>
                <w:sz w:val="16"/>
                <w:rFonts w:ascii="SimSun" w:hAnsi="SimSun" w:eastAsia="SimSun"/>
              </w:rPr>
              <w:t>0.8974</w:t>
            </w:r>
          </w:p>
        </w:tc>
        <w:tc>
          <w:tcPr>
            <w:tcW w:type="dxa" w:w="1046"/>
          </w:tcPr>
          <w:p>
            <w:pPr>
              <w:jc w:val="center"/>
            </w:pPr>
            <w:r>
              <w:rPr>
                <w:rFonts w:ascii="SimSun" w:hAnsi="SimSun"/>
                <w:b w:val="0"/>
                <w:i w:val="0"/>
                <w:color w:val="000000"/>
                <w:sz w:val="16"/>
                <w:rFonts w:ascii="SimSun" w:hAnsi="SimSun" w:eastAsia="SimSun"/>
              </w:rPr>
              <w:t>0.0523</w:t>
            </w:r>
          </w:p>
        </w:tc>
        <w:tc>
          <w:tcPr>
            <w:tcW w:type="dxa" w:w="1046"/>
          </w:tcPr>
          <w:p>
            <w:pPr>
              <w:jc w:val="center"/>
            </w:pPr>
            <w:r>
              <w:rPr>
                <w:rFonts w:ascii="SimSun" w:hAnsi="SimSun"/>
                <w:b w:val="0"/>
                <w:i w:val="0"/>
                <w:color w:val="000000"/>
                <w:sz w:val="16"/>
                <w:rFonts w:ascii="SimSun" w:hAnsi="SimSun" w:eastAsia="SimSun"/>
              </w:rPr>
              <w:t>50.0</w:t>
            </w:r>
          </w:p>
        </w:tc>
        <w:tc>
          <w:tcPr>
            <w:tcW w:type="dxa" w:w="1046"/>
          </w:tcPr>
          <w:p>
            <w:pPr>
              <w:jc w:val="center"/>
            </w:pPr>
            <w:r>
              <w:rPr>
                <w:rFonts w:ascii="SimSun" w:hAnsi="SimSun"/>
                <w:b w:val="0"/>
                <w:i w:val="0"/>
                <w:color w:val="000000"/>
                <w:sz w:val="16"/>
                <w:rFonts w:ascii="SimSun" w:hAnsi="SimSun" w:eastAsia="SimSun"/>
              </w:rPr>
              <w:t>66,275</w:t>
            </w:r>
          </w:p>
        </w:tc>
        <w:tc>
          <w:tcPr>
            <w:tcW w:type="dxa" w:w="1046"/>
          </w:tcPr>
          <w:p>
            <w:pPr>
              <w:jc w:val="center"/>
            </w:pPr>
            <w:r>
              <w:rPr>
                <w:rFonts w:ascii="SimSun" w:hAnsi="SimSun"/>
                <w:b w:val="0"/>
                <w:i w:val="0"/>
                <w:color w:val="000000"/>
                <w:sz w:val="16"/>
                <w:rFonts w:ascii="SimSun" w:hAnsi="SimSun" w:eastAsia="SimSun"/>
              </w:rPr>
              <w:t>3.3 周 (7.6 代)*</w:t>
            </w:r>
          </w:p>
        </w:tc>
        <w:tc>
          <w:tcPr>
            <w:tcW w:type="dxa" w:w="1046"/>
          </w:tcPr>
          <w:p>
            <w:pPr>
              <w:jc w:val="left"/>
            </w:pPr>
            <w:r>
              <w:rPr>
                <w:rFonts w:ascii="SimSun" w:hAnsi="SimSun"/>
                <w:b w:val="0"/>
                <w:i w:val="0"/>
                <w:color w:val="000000"/>
                <w:sz w:val="16"/>
                <w:rFonts w:ascii="SimSun" w:hAnsi="SimSun" w:eastAsia="SimSun"/>
              </w:rPr>
              <w:t>暴发顶点急速转折，R &lt; 1，连续外推机制转移。</w:t>
            </w:r>
          </w:p>
        </w:tc>
      </w:tr>
      <w:tr>
        <w:tc>
          <w:tcPr>
            <w:tcW w:type="dxa" w:w="1046"/>
          </w:tcPr>
          <w:p>
            <w:pPr>
              <w:jc w:val="left"/>
            </w:pPr>
            <w:r>
              <w:rPr>
                <w:rFonts w:ascii="SimSun" w:hAnsi="SimSun"/>
                <w:b w:val="0"/>
                <w:i w:val="0"/>
                <w:color w:val="000000"/>
                <w:sz w:val="16"/>
                <w:rFonts w:ascii="SimSun" w:hAnsi="SimSun" w:eastAsia="SimSun"/>
              </w:rPr>
              <w:t>流感 2022–23 流行季</w:t>
            </w:r>
          </w:p>
        </w:tc>
        <w:tc>
          <w:tcPr>
            <w:tcW w:type="dxa" w:w="1046"/>
          </w:tcPr>
          <w:p>
            <w:pPr>
              <w:jc w:val="center"/>
            </w:pPr>
            <w:r>
              <w:rPr>
                <w:rFonts w:ascii="SimSun" w:hAnsi="SimSun"/>
                <w:b w:val="0"/>
                <w:i w:val="0"/>
                <w:color w:val="000000"/>
                <w:sz w:val="16"/>
                <w:rFonts w:ascii="SimSun" w:hAnsi="SimSun" w:eastAsia="SimSun"/>
              </w:rPr>
              <w:t>早期指数爬坡期</w:t>
            </w:r>
          </w:p>
        </w:tc>
        <w:tc>
          <w:tcPr>
            <w:tcW w:type="dxa" w:w="1046"/>
          </w:tcPr>
          <w:p>
            <w:pPr>
              <w:jc w:val="center"/>
            </w:pPr>
            <w:r>
              <w:rPr>
                <w:rFonts w:ascii="SimSun" w:hAnsi="SimSun"/>
                <w:b w:val="0"/>
                <w:i w:val="0"/>
                <w:color w:val="000000"/>
                <w:sz w:val="16"/>
                <w:rFonts w:ascii="SimSun" w:hAnsi="SimSun" w:eastAsia="SimSun"/>
              </w:rPr>
              <w:t>2022-W40 至 W44</w:t>
            </w:r>
          </w:p>
        </w:tc>
        <w:tc>
          <w:tcPr>
            <w:tcW w:type="dxa" w:w="1046"/>
          </w:tcPr>
          <w:p>
            <w:pPr>
              <w:jc w:val="center"/>
            </w:pPr>
            <w:r>
              <w:rPr>
                <w:rFonts w:ascii="SimSun" w:hAnsi="SimSun"/>
                <w:b w:val="0"/>
                <w:i w:val="0"/>
                <w:color w:val="000000"/>
                <w:sz w:val="16"/>
                <w:rFonts w:ascii="SimSun" w:hAnsi="SimSun" w:eastAsia="SimSun"/>
              </w:rPr>
              <w:t>1.4138</w:t>
            </w:r>
          </w:p>
        </w:tc>
        <w:tc>
          <w:tcPr>
            <w:tcW w:type="dxa" w:w="1046"/>
          </w:tcPr>
          <w:p>
            <w:pPr>
              <w:jc w:val="center"/>
            </w:pPr>
            <w:r>
              <w:rPr>
                <w:rFonts w:ascii="SimSun" w:hAnsi="SimSun"/>
                <w:b w:val="0"/>
                <w:i w:val="0"/>
                <w:color w:val="000000"/>
                <w:sz w:val="16"/>
                <w:rFonts w:ascii="SimSun" w:hAnsi="SimSun" w:eastAsia="SimSun"/>
              </w:rPr>
              <w:t>0.0557</w:t>
            </w:r>
          </w:p>
        </w:tc>
        <w:tc>
          <w:tcPr>
            <w:tcW w:type="dxa" w:w="1046"/>
          </w:tcPr>
          <w:p>
            <w:pPr>
              <w:jc w:val="center"/>
            </w:pPr>
            <w:r>
              <w:rPr>
                <w:rFonts w:ascii="SimSun" w:hAnsi="SimSun"/>
                <w:b w:val="0"/>
                <w:i w:val="0"/>
                <w:color w:val="000000"/>
                <w:sz w:val="16"/>
                <w:rFonts w:ascii="SimSun" w:hAnsi="SimSun" w:eastAsia="SimSun"/>
              </w:rPr>
              <w:t>38.6</w:t>
            </w:r>
          </w:p>
        </w:tc>
        <w:tc>
          <w:tcPr>
            <w:tcW w:type="dxa" w:w="1046"/>
          </w:tcPr>
          <w:p>
            <w:pPr>
              <w:jc w:val="center"/>
            </w:pPr>
            <w:r>
              <w:rPr>
                <w:rFonts w:ascii="SimSun" w:hAnsi="SimSun"/>
                <w:b w:val="0"/>
                <w:i w:val="0"/>
                <w:color w:val="000000"/>
                <w:sz w:val="16"/>
                <w:rFonts w:ascii="SimSun" w:hAnsi="SimSun" w:eastAsia="SimSun"/>
              </w:rPr>
              <w:t>21,568</w:t>
            </w:r>
          </w:p>
        </w:tc>
        <w:tc>
          <w:tcPr>
            <w:tcW w:type="dxa" w:w="1046"/>
          </w:tcPr>
          <w:p>
            <w:pPr>
              <w:jc w:val="center"/>
            </w:pPr>
            <w:r>
              <w:rPr>
                <w:rFonts w:ascii="SimSun" w:hAnsi="SimSun"/>
                <w:b w:val="0"/>
                <w:i w:val="0"/>
                <w:color w:val="000000"/>
                <w:sz w:val="16"/>
                <w:rFonts w:ascii="SimSun" w:hAnsi="SimSun" w:eastAsia="SimSun"/>
              </w:rPr>
              <w:t>5.1 周 (11.2 代)</w:t>
            </w:r>
          </w:p>
        </w:tc>
        <w:tc>
          <w:tcPr>
            <w:tcW w:type="dxa" w:w="1046"/>
          </w:tcPr>
          <w:p>
            <w:pPr>
              <w:jc w:val="left"/>
            </w:pPr>
            <w:r>
              <w:rPr>
                <w:rFonts w:ascii="SimSun" w:hAnsi="SimSun"/>
                <w:b w:val="0"/>
                <w:i w:val="0"/>
                <w:color w:val="000000"/>
                <w:sz w:val="16"/>
                <w:rFonts w:ascii="SimSun" w:hAnsi="SimSun" w:eastAsia="SimSun"/>
              </w:rPr>
              <w:t>快速早期爬坡，短代间隔下视界为 5.1 周。</w:t>
            </w:r>
          </w:p>
        </w:tc>
      </w:tr>
      <w:tr>
        <w:tc>
          <w:tcPr>
            <w:tcW w:type="dxa" w:w="1046"/>
          </w:tcPr>
          <w:p>
            <w:pPr>
              <w:jc w:val="left"/>
            </w:pPr>
            <w:r>
              <w:rPr>
                <w:rFonts w:ascii="SimSun" w:hAnsi="SimSun"/>
                <w:b w:val="0"/>
                <w:i w:val="0"/>
                <w:color w:val="000000"/>
                <w:sz w:val="16"/>
                <w:rFonts w:ascii="SimSun" w:hAnsi="SimSun" w:eastAsia="SimSun"/>
              </w:rPr>
            </w:r>
          </w:p>
        </w:tc>
        <w:tc>
          <w:tcPr>
            <w:tcW w:type="dxa" w:w="1046"/>
          </w:tcPr>
          <w:p>
            <w:pPr>
              <w:jc w:val="center"/>
            </w:pPr>
            <w:r>
              <w:rPr>
                <w:rFonts w:ascii="SimSun" w:hAnsi="SimSun"/>
                <w:b w:val="0"/>
                <w:i w:val="0"/>
                <w:color w:val="000000"/>
                <w:sz w:val="16"/>
                <w:rFonts w:ascii="SimSun" w:hAnsi="SimSun" w:eastAsia="SimSun"/>
              </w:rPr>
              <w:t>达峰消退期</w:t>
            </w:r>
          </w:p>
        </w:tc>
        <w:tc>
          <w:tcPr>
            <w:tcW w:type="dxa" w:w="1046"/>
          </w:tcPr>
          <w:p>
            <w:pPr>
              <w:jc w:val="center"/>
            </w:pPr>
            <w:r>
              <w:rPr>
                <w:rFonts w:ascii="SimSun" w:hAnsi="SimSun"/>
                <w:b w:val="0"/>
                <w:i w:val="0"/>
                <w:color w:val="000000"/>
                <w:sz w:val="16"/>
                <w:rFonts w:ascii="SimSun" w:hAnsi="SimSun" w:eastAsia="SimSun"/>
              </w:rPr>
              <w:t>2022-W48 至 W52</w:t>
            </w:r>
          </w:p>
        </w:tc>
        <w:tc>
          <w:tcPr>
            <w:tcW w:type="dxa" w:w="1046"/>
          </w:tcPr>
          <w:p>
            <w:pPr>
              <w:jc w:val="center"/>
            </w:pPr>
            <w:r>
              <w:rPr>
                <w:rFonts w:ascii="SimSun" w:hAnsi="SimSun"/>
                <w:b w:val="0"/>
                <w:i w:val="0"/>
                <w:color w:val="000000"/>
                <w:sz w:val="16"/>
                <w:rFonts w:ascii="SimSun" w:hAnsi="SimSun" w:eastAsia="SimSun"/>
              </w:rPr>
              <w:t>0.9154</w:t>
            </w:r>
          </w:p>
        </w:tc>
        <w:tc>
          <w:tcPr>
            <w:tcW w:type="dxa" w:w="1046"/>
          </w:tcPr>
          <w:p>
            <w:pPr>
              <w:jc w:val="center"/>
            </w:pPr>
            <w:r>
              <w:rPr>
                <w:rFonts w:ascii="SimSun" w:hAnsi="SimSun"/>
                <w:b w:val="0"/>
                <w:i w:val="0"/>
                <w:color w:val="000000"/>
                <w:sz w:val="16"/>
                <w:rFonts w:ascii="SimSun" w:hAnsi="SimSun" w:eastAsia="SimSun"/>
              </w:rPr>
              <w:t>0.0169</w:t>
            </w:r>
          </w:p>
        </w:tc>
        <w:tc>
          <w:tcPr>
            <w:tcW w:type="dxa" w:w="1046"/>
          </w:tcPr>
          <w:p>
            <w:pPr>
              <w:jc w:val="center"/>
            </w:pPr>
            <w:r>
              <w:rPr>
                <w:rFonts w:ascii="SimSun" w:hAnsi="SimSun"/>
                <w:b w:val="0"/>
                <w:i w:val="0"/>
                <w:color w:val="000000"/>
                <w:sz w:val="16"/>
                <w:rFonts w:ascii="SimSun" w:hAnsi="SimSun" w:eastAsia="SimSun"/>
              </w:rPr>
              <w:t>38.6</w:t>
            </w:r>
          </w:p>
        </w:tc>
        <w:tc>
          <w:tcPr>
            <w:tcW w:type="dxa" w:w="1046"/>
          </w:tcPr>
          <w:p>
            <w:pPr>
              <w:jc w:val="center"/>
            </w:pPr>
            <w:r>
              <w:rPr>
                <w:rFonts w:ascii="SimSun" w:hAnsi="SimSun"/>
                <w:b w:val="0"/>
                <w:i w:val="0"/>
                <w:color w:val="000000"/>
                <w:sz w:val="16"/>
                <w:rFonts w:ascii="SimSun" w:hAnsi="SimSun" w:eastAsia="SimSun"/>
              </w:rPr>
              <w:t>21,568</w:t>
            </w:r>
          </w:p>
        </w:tc>
        <w:tc>
          <w:tcPr>
            <w:tcW w:type="dxa" w:w="1046"/>
          </w:tcPr>
          <w:p>
            <w:pPr>
              <w:jc w:val="center"/>
            </w:pPr>
            <w:r>
              <w:rPr>
                <w:rFonts w:ascii="SimSun" w:hAnsi="SimSun"/>
                <w:b w:val="0"/>
                <w:i w:val="0"/>
                <w:color w:val="000000"/>
                <w:sz w:val="16"/>
                <w:rFonts w:ascii="SimSun" w:hAnsi="SimSun" w:eastAsia="SimSun"/>
              </w:rPr>
              <w:t>10.7 周 (23.4 代)*</w:t>
            </w:r>
          </w:p>
        </w:tc>
        <w:tc>
          <w:tcPr>
            <w:tcW w:type="dxa" w:w="1046"/>
          </w:tcPr>
          <w:p>
            <w:pPr>
              <w:jc w:val="left"/>
            </w:pPr>
            <w:r>
              <w:rPr>
                <w:rFonts w:ascii="SimSun" w:hAnsi="SimSun"/>
                <w:b w:val="0"/>
                <w:i w:val="0"/>
                <w:color w:val="000000"/>
                <w:sz w:val="16"/>
                <w:rFonts w:ascii="SimSun" w:hAnsi="SimSun" w:eastAsia="SimSun"/>
              </w:rPr>
              <w:t>流行季过峰回落，系统进入微观熄灭与零星输入期。</w:t>
            </w:r>
          </w:p>
        </w:tc>
      </w:tr>
    </w:tbl>
    <w:p>
      <w:pPr>
        <w:spacing w:before="80" w:after="40" w:line="288" w:lineRule="auto"/>
        <w:jc w:val="center"/>
      </w:pPr>
      <w:r>
        <w:rPr>
          <w:rFonts w:ascii="SimHei" w:hAnsi="SimHei"/>
          <w:b/>
          <w:i w:val="0"/>
          <w:color w:val="000000"/>
          <w:sz w:val="19"/>
          <w:rFonts w:ascii="SimHei" w:hAnsi="SimHei" w:eastAsia="SimHei"/>
        </w:rPr>
        <w:t>表 3  COVID-19 与季节性流感不同动力学相位的参数估计与理论视界对照分析</w:t>
      </w:r>
    </w:p>
    <w:p>
      <w:pPr>
        <w:spacing w:before="0" w:after="160" w:line="288" w:lineRule="auto"/>
        <w:jc w:val="left"/>
      </w:pPr>
      <w:r>
        <w:rPr>
          <w:rFonts w:ascii="SimSun" w:hAnsi="SimSun"/>
          <w:b w:val="0"/>
          <w:i/>
          <w:color w:val="000000"/>
          <w:sz w:val="16"/>
          <w:rFonts w:ascii="SimSun" w:hAnsi="SimSun" w:eastAsia="SimSun"/>
        </w:rPr>
        <w:t>注：各相位推断窗口均为连续 4 周，过度离散度 k 与初始发病规模 I_0 均经 CDC 对应阶段真实聚合序列拟合标定；* 标注表示在亚临界（R &lt; 1）消退体制下，数学全方差临界方程虽然仍存在数值正根（7.5–10.7 周），但发病期望呈指数衰退并向吸收壁滑落，实际业务中连续分支方差外推受到低发病截断与零星外生输入的机制转移（Regime Shift，见 Parag et al. 2026），此时公共卫生业务转入微观熄灭监测与病例溯源清零。</w:t>
      </w:r>
    </w:p>
    <w:p>
      <w:pPr>
        <w:spacing w:before="200" w:after="80" w:line="288" w:lineRule="auto"/>
        <w:jc w:val="left"/>
      </w:pPr>
      <w:r>
        <w:rPr>
          <w:rFonts w:ascii="SimHei" w:hAnsi="SimHei"/>
          <w:b/>
          <w:i w:val="0"/>
          <w:color w:val="000000"/>
          <w:sz w:val="24"/>
          <w:rFonts w:ascii="SimHei" w:hAnsi="SimHei" w:eastAsia="SimHei"/>
        </w:rPr>
        <w:t>4.3  四项预测误差记账架构与实测分解</w:t>
      </w:r>
    </w:p>
    <w:p>
      <w:pPr>
        <w:spacing w:before="0" w:after="60" w:line="288" w:lineRule="auto"/>
        <w:ind w:firstLine="420"/>
        <w:jc w:val="left"/>
      </w:pPr>
      <w:r>
        <w:rPr>
          <w:rFonts w:ascii="SimSun" w:hAnsi="SimSun"/>
          <w:b w:val="0"/>
          <w:i w:val="0"/>
          <w:color w:val="000000"/>
          <w:sz w:val="21"/>
          <w:rFonts w:ascii="SimSun" w:hAnsi="SimSun" w:eastAsia="SimSun"/>
        </w:rPr>
        <w:t>在真实监测数据中，前瞻预测误差由四项描述性记账恒等式分解：relMSE^2_obs(h) = CV^2(h) + E_drift(h) + P(h) + E_misspec(h)。各项步长严格按世代数 h_gen = h_周 * 7 / μ_g 代入计算，核算结果见表 4。</w:t>
      </w:r>
    </w:p>
    <w:tbl>
      <w:tblPr>
        <w:tblW w:type="auto" w:w="0"/>
        <w:jc w:val="center"/>
        <w:tblLook w:firstColumn="1" w:firstRow="1" w:lastColumn="0" w:lastRow="0" w:noHBand="0" w:noVBand="1" w:val="04A0"/>
        <w:tblBorders>
          <w:top w:val="single" w:sz="12" w:space="0" w:color="000000"/>
          <w:bottom w:val="single" w:sz="12" w:space="0" w:color="000000"/>
          <w:insideH w:val="none"/>
          <w:insideV w:val="none"/>
          <w:left w:val="none"/>
          <w:right w:val="none"/>
        </w:tblBorders>
      </w:tblPr>
      <w:tblGrid>
        <w:gridCol w:w="1177"/>
        <w:gridCol w:w="1177"/>
        <w:gridCol w:w="1177"/>
        <w:gridCol w:w="1177"/>
        <w:gridCol w:w="1177"/>
        <w:gridCol w:w="1177"/>
        <w:gridCol w:w="1177"/>
        <w:gridCol w:w="1177"/>
      </w:tblGrid>
      <w:tr>
        <w:tc>
          <w:tcPr>
            <w:tcW w:type="dxa" w:w="1177"/>
            <w:tcBorders>
              <w:bottom w:val="single" w:sz="6" w:space="0" w:color="000000"/>
            </w:tcBorders>
          </w:tcPr>
          <w:p>
            <w:pPr>
              <w:jc w:val="center"/>
            </w:pPr>
            <w:r>
              <w:rPr>
                <w:rFonts w:ascii="SimHei" w:hAnsi="SimHei"/>
                <w:b/>
                <w:i w:val="0"/>
                <w:color w:val="000000"/>
                <w:sz w:val="17"/>
                <w:rFonts w:ascii="SimHei" w:hAnsi="SimHei" w:eastAsia="SimHei"/>
              </w:rPr>
              <w:t>流行阶段 / 病原体</w:t>
            </w:r>
          </w:p>
        </w:tc>
        <w:tc>
          <w:tcPr>
            <w:tcW w:type="dxa" w:w="1177"/>
            <w:tcBorders>
              <w:bottom w:val="single" w:sz="6" w:space="0" w:color="000000"/>
            </w:tcBorders>
          </w:tcPr>
          <w:p>
            <w:pPr>
              <w:jc w:val="center"/>
            </w:pPr>
            <w:r>
              <w:rPr>
                <w:rFonts w:ascii="SimHei" w:hAnsi="SimHei"/>
                <w:b/>
                <w:i w:val="0"/>
                <w:color w:val="000000"/>
                <w:sz w:val="17"/>
                <w:rFonts w:ascii="SimHei" w:hAnsi="SimHei" w:eastAsia="SimHei"/>
              </w:rPr>
              <w:t>历法步长 h_周</w:t>
            </w:r>
          </w:p>
        </w:tc>
        <w:tc>
          <w:tcPr>
            <w:tcW w:type="dxa" w:w="1177"/>
            <w:tcBorders>
              <w:bottom w:val="single" w:sz="6" w:space="0" w:color="000000"/>
            </w:tcBorders>
          </w:tcPr>
          <w:p>
            <w:pPr>
              <w:jc w:val="center"/>
            </w:pPr>
            <w:r>
              <w:rPr>
                <w:rFonts w:ascii="SimHei" w:hAnsi="SimHei"/>
                <w:b/>
                <w:i w:val="0"/>
                <w:color w:val="000000"/>
                <w:sz w:val="17"/>
                <w:rFonts w:ascii="SimHei" w:hAnsi="SimHei" w:eastAsia="SimHei"/>
              </w:rPr>
              <w:t>对应世代数 h_gen</w:t>
            </w:r>
          </w:p>
        </w:tc>
        <w:tc>
          <w:tcPr>
            <w:tcW w:type="dxa" w:w="1177"/>
            <w:tcBorders>
              <w:bottom w:val="single" w:sz="6" w:space="0" w:color="000000"/>
            </w:tcBorders>
          </w:tcPr>
          <w:p>
            <w:pPr>
              <w:jc w:val="center"/>
            </w:pPr>
            <w:r>
              <w:rPr>
                <w:rFonts w:ascii="SimHei" w:hAnsi="SimHei"/>
                <w:b/>
                <w:i w:val="0"/>
                <w:color w:val="000000"/>
                <w:sz w:val="17"/>
                <w:rFonts w:ascii="SimHei" w:hAnsi="SimHei" w:eastAsia="SimHei"/>
              </w:rPr>
              <w:t>总相对均方误差</w:t>
            </w:r>
          </w:p>
        </w:tc>
        <w:tc>
          <w:tcPr>
            <w:tcW w:type="dxa" w:w="1177"/>
            <w:tcBorders>
              <w:bottom w:val="single" w:sz="6" w:space="0" w:color="000000"/>
            </w:tcBorders>
          </w:tcPr>
          <w:p>
            <w:pPr>
              <w:jc w:val="center"/>
            </w:pPr>
            <w:r>
              <w:rPr>
                <w:rFonts w:ascii="SimHei" w:hAnsi="SimHei"/>
                <w:b/>
                <w:i w:val="0"/>
                <w:color w:val="000000"/>
                <w:sz w:val="17"/>
                <w:rFonts w:ascii="SimHei" w:hAnsi="SimHei" w:eastAsia="SimHei"/>
              </w:rPr>
              <w:t>群体随机性 CV^2</w:t>
            </w:r>
          </w:p>
        </w:tc>
        <w:tc>
          <w:tcPr>
            <w:tcW w:type="dxa" w:w="1177"/>
            <w:tcBorders>
              <w:bottom w:val="single" w:sz="6" w:space="0" w:color="000000"/>
            </w:tcBorders>
          </w:tcPr>
          <w:p>
            <w:pPr>
              <w:jc w:val="center"/>
            </w:pPr>
            <w:r>
              <w:rPr>
                <w:rFonts w:ascii="SimHei" w:hAnsi="SimHei"/>
                <w:b/>
                <w:i w:val="0"/>
                <w:color w:val="000000"/>
                <w:sz w:val="17"/>
                <w:rFonts w:ascii="SimHei" w:hAnsi="SimHei" w:eastAsia="SimHei"/>
              </w:rPr>
              <w:t>时变漂移方差 E_drift</w:t>
            </w:r>
          </w:p>
        </w:tc>
        <w:tc>
          <w:tcPr>
            <w:tcW w:type="dxa" w:w="1177"/>
            <w:tcBorders>
              <w:bottom w:val="single" w:sz="6" w:space="0" w:color="000000"/>
            </w:tcBorders>
          </w:tcPr>
          <w:p>
            <w:pPr>
              <w:jc w:val="center"/>
            </w:pPr>
            <w:r>
              <w:rPr>
                <w:rFonts w:ascii="SimHei" w:hAnsi="SimHei"/>
                <w:b/>
                <w:i w:val="0"/>
                <w:color w:val="000000"/>
                <w:sz w:val="17"/>
                <w:rFonts w:ascii="SimHei" w:hAnsi="SimHei" w:eastAsia="SimHei"/>
              </w:rPr>
              <w:t>参数外推误差 P</w:t>
            </w:r>
          </w:p>
        </w:tc>
        <w:tc>
          <w:tcPr>
            <w:tcW w:type="dxa" w:w="1177"/>
            <w:tcBorders>
              <w:bottom w:val="single" w:sz="6" w:space="0" w:color="000000"/>
            </w:tcBorders>
          </w:tcPr>
          <w:p>
            <w:pPr>
              <w:jc w:val="center"/>
            </w:pPr>
            <w:r>
              <w:rPr>
                <w:rFonts w:ascii="SimHei" w:hAnsi="SimHei"/>
                <w:b/>
                <w:i w:val="0"/>
                <w:color w:val="000000"/>
                <w:sz w:val="17"/>
                <w:rFonts w:ascii="SimHei" w:hAnsi="SimHei" w:eastAsia="SimHei"/>
              </w:rPr>
              <w:t>未归因结构残差 E_misspec</w:t>
            </w:r>
          </w:p>
        </w:tc>
      </w:tr>
      <w:tr>
        <w:tc>
          <w:tcPr>
            <w:tcW w:type="dxa" w:w="1177"/>
          </w:tcPr>
          <w:p>
            <w:pPr>
              <w:jc w:val="left"/>
            </w:pPr>
            <w:r>
              <w:rPr>
                <w:rFonts w:ascii="SimSun" w:hAnsi="SimSun"/>
                <w:b w:val="0"/>
                <w:i w:val="0"/>
                <w:color w:val="000000"/>
                <w:sz w:val="16"/>
                <w:rFonts w:ascii="SimSun" w:hAnsi="SimSun" w:eastAsia="SimSun"/>
              </w:rPr>
              <w:t>COVID-19 Delta 暴发期</w:t>
            </w:r>
          </w:p>
        </w:tc>
        <w:tc>
          <w:tcPr>
            <w:tcW w:type="dxa" w:w="1177"/>
          </w:tcPr>
          <w:p>
            <w:pPr>
              <w:jc w:val="center"/>
            </w:pPr>
            <w:r>
              <w:rPr>
                <w:rFonts w:ascii="SimSun" w:hAnsi="SimSun"/>
                <w:b w:val="0"/>
                <w:i w:val="0"/>
                <w:color w:val="000000"/>
                <w:sz w:val="16"/>
                <w:rFonts w:ascii="SimSun" w:hAnsi="SimSun" w:eastAsia="SimSun"/>
              </w:rPr>
              <w:t>1 周</w:t>
            </w:r>
          </w:p>
        </w:tc>
        <w:tc>
          <w:tcPr>
            <w:tcW w:type="dxa" w:w="1177"/>
          </w:tcPr>
          <w:p>
            <w:pPr>
              <w:jc w:val="center"/>
            </w:pPr>
            <w:r>
              <w:rPr>
                <w:rFonts w:ascii="SimSun" w:hAnsi="SimSun"/>
                <w:b w:val="0"/>
                <w:i w:val="0"/>
                <w:color w:val="000000"/>
                <w:sz w:val="16"/>
                <w:rFonts w:ascii="SimSun" w:hAnsi="SimSun" w:eastAsia="SimSun"/>
              </w:rPr>
              <w:t>1.49 代</w:t>
            </w:r>
          </w:p>
        </w:tc>
        <w:tc>
          <w:tcPr>
            <w:tcW w:type="dxa" w:w="1177"/>
          </w:tcPr>
          <w:p>
            <w:pPr>
              <w:jc w:val="left"/>
            </w:pPr>
            <w:r>
              <w:rPr>
                <w:rFonts w:ascii="SimSun" w:hAnsi="SimSun"/>
                <w:b w:val="0"/>
                <w:i w:val="0"/>
                <w:color w:val="000000"/>
                <w:sz w:val="16"/>
                <w:rFonts w:ascii="SimSun" w:hAnsi="SimSun" w:eastAsia="SimSun"/>
              </w:rPr>
              <w:t>213.0 (100.0%)</w:t>
            </w:r>
          </w:p>
        </w:tc>
        <w:tc>
          <w:tcPr>
            <w:tcW w:type="dxa" w:w="1177"/>
          </w:tcPr>
          <w:p>
            <w:pPr>
              <w:jc w:val="left"/>
            </w:pPr>
            <w:r>
              <w:rPr>
                <w:rFonts w:ascii="SimSun" w:hAnsi="SimSun"/>
                <w:b w:val="0"/>
                <w:i w:val="0"/>
                <w:color w:val="000000"/>
                <w:sz w:val="16"/>
                <w:rFonts w:ascii="SimSun" w:hAnsi="SimSun" w:eastAsia="SimSun"/>
              </w:rPr>
              <w:t>0.38 (0.18%)</w:t>
            </w:r>
          </w:p>
        </w:tc>
        <w:tc>
          <w:tcPr>
            <w:tcW w:type="dxa" w:w="1177"/>
          </w:tcPr>
          <w:p>
            <w:pPr>
              <w:jc w:val="left"/>
            </w:pPr>
            <w:r>
              <w:rPr>
                <w:rFonts w:ascii="SimSun" w:hAnsi="SimSun"/>
                <w:b w:val="0"/>
                <w:i w:val="0"/>
                <w:color w:val="000000"/>
                <w:sz w:val="16"/>
                <w:rFonts w:ascii="SimSun" w:hAnsi="SimSun" w:eastAsia="SimSun"/>
              </w:rPr>
              <w:t>5.00 (2.35%)</w:t>
            </w:r>
          </w:p>
        </w:tc>
        <w:tc>
          <w:tcPr>
            <w:tcW w:type="dxa" w:w="1177"/>
          </w:tcPr>
          <w:p>
            <w:pPr>
              <w:jc w:val="left"/>
            </w:pPr>
            <w:r>
              <w:rPr>
                <w:rFonts w:ascii="SimSun" w:hAnsi="SimSun"/>
                <w:b w:val="0"/>
                <w:i w:val="0"/>
                <w:color w:val="000000"/>
                <w:sz w:val="16"/>
                <w:rFonts w:ascii="SimSun" w:hAnsi="SimSun" w:eastAsia="SimSun"/>
              </w:rPr>
              <w:t>10.42 (4.89%)</w:t>
            </w:r>
          </w:p>
        </w:tc>
        <w:tc>
          <w:tcPr>
            <w:tcW w:type="dxa" w:w="1177"/>
          </w:tcPr>
          <w:p>
            <w:pPr>
              <w:jc w:val="left"/>
            </w:pPr>
            <w:r>
              <w:rPr>
                <w:rFonts w:ascii="SimSun" w:hAnsi="SimSun"/>
                <w:b w:val="0"/>
                <w:i w:val="0"/>
                <w:color w:val="000000"/>
                <w:sz w:val="16"/>
                <w:rFonts w:ascii="SimSun" w:hAnsi="SimSun" w:eastAsia="SimSun"/>
              </w:rPr>
              <w:t>197.2 (92.58%)</w:t>
            </w:r>
          </w:p>
        </w:tc>
      </w:tr>
      <w:tr>
        <w:tc>
          <w:tcPr>
            <w:tcW w:type="dxa" w:w="1177"/>
          </w:tcPr>
          <w:p>
            <w:pPr>
              <w:jc w:val="left"/>
            </w:pPr>
            <w:r>
              <w:rPr>
                <w:rFonts w:ascii="SimSun" w:hAnsi="SimSun"/>
                <w:b w:val="0"/>
                <w:i w:val="0"/>
                <w:color w:val="000000"/>
                <w:sz w:val="16"/>
                <w:rFonts w:ascii="SimSun" w:hAnsi="SimSun" w:eastAsia="SimSun"/>
              </w:rPr>
              <w:t>COVID-19 Delta 暴发期</w:t>
            </w:r>
          </w:p>
        </w:tc>
        <w:tc>
          <w:tcPr>
            <w:tcW w:type="dxa" w:w="1177"/>
          </w:tcPr>
          <w:p>
            <w:pPr>
              <w:jc w:val="center"/>
            </w:pPr>
            <w:r>
              <w:rPr>
                <w:rFonts w:ascii="SimSun" w:hAnsi="SimSun"/>
                <w:b w:val="0"/>
                <w:i w:val="0"/>
                <w:color w:val="000000"/>
                <w:sz w:val="16"/>
                <w:rFonts w:ascii="SimSun" w:hAnsi="SimSun" w:eastAsia="SimSun"/>
              </w:rPr>
              <w:t>4 周</w:t>
            </w:r>
          </w:p>
        </w:tc>
        <w:tc>
          <w:tcPr>
            <w:tcW w:type="dxa" w:w="1177"/>
          </w:tcPr>
          <w:p>
            <w:pPr>
              <w:jc w:val="center"/>
            </w:pPr>
            <w:r>
              <w:rPr>
                <w:rFonts w:ascii="SimSun" w:hAnsi="SimSun"/>
                <w:b w:val="0"/>
                <w:i w:val="0"/>
                <w:color w:val="000000"/>
                <w:sz w:val="16"/>
                <w:rFonts w:ascii="SimSun" w:hAnsi="SimSun" w:eastAsia="SimSun"/>
              </w:rPr>
              <w:t>5.96 代</w:t>
            </w:r>
          </w:p>
        </w:tc>
        <w:tc>
          <w:tcPr>
            <w:tcW w:type="dxa" w:w="1177"/>
          </w:tcPr>
          <w:p>
            <w:pPr>
              <w:jc w:val="left"/>
            </w:pPr>
            <w:r>
              <w:rPr>
                <w:rFonts w:ascii="SimSun" w:hAnsi="SimSun"/>
                <w:b w:val="0"/>
                <w:i w:val="0"/>
                <w:color w:val="000000"/>
                <w:sz w:val="16"/>
                <w:rFonts w:ascii="SimSun" w:hAnsi="SimSun" w:eastAsia="SimSun"/>
              </w:rPr>
              <w:t>894.0 (100.0%)</w:t>
            </w:r>
          </w:p>
        </w:tc>
        <w:tc>
          <w:tcPr>
            <w:tcW w:type="dxa" w:w="1177"/>
          </w:tcPr>
          <w:p>
            <w:pPr>
              <w:jc w:val="left"/>
            </w:pPr>
            <w:r>
              <w:rPr>
                <w:rFonts w:ascii="SimSun" w:hAnsi="SimSun"/>
                <w:b w:val="0"/>
                <w:i w:val="0"/>
                <w:color w:val="000000"/>
                <w:sz w:val="16"/>
                <w:rFonts w:ascii="SimSun" w:hAnsi="SimSun" w:eastAsia="SimSun"/>
              </w:rPr>
              <w:t>0.91 (0.10%)</w:t>
            </w:r>
          </w:p>
        </w:tc>
        <w:tc>
          <w:tcPr>
            <w:tcW w:type="dxa" w:w="1177"/>
          </w:tcPr>
          <w:p>
            <w:pPr>
              <w:jc w:val="left"/>
            </w:pPr>
            <w:r>
              <w:rPr>
                <w:rFonts w:ascii="SimSun" w:hAnsi="SimSun"/>
                <w:b w:val="0"/>
                <w:i w:val="0"/>
                <w:color w:val="000000"/>
                <w:sz w:val="16"/>
                <w:rFonts w:ascii="SimSun" w:hAnsi="SimSun" w:eastAsia="SimSun"/>
              </w:rPr>
              <w:t>20.01 (2.24%)</w:t>
            </w:r>
          </w:p>
        </w:tc>
        <w:tc>
          <w:tcPr>
            <w:tcW w:type="dxa" w:w="1177"/>
          </w:tcPr>
          <w:p>
            <w:pPr>
              <w:jc w:val="left"/>
            </w:pPr>
            <w:r>
              <w:rPr>
                <w:rFonts w:ascii="SimSun" w:hAnsi="SimSun"/>
                <w:b w:val="0"/>
                <w:i w:val="0"/>
                <w:color w:val="000000"/>
                <w:sz w:val="16"/>
                <w:rFonts w:ascii="SimSun" w:hAnsi="SimSun" w:eastAsia="SimSun"/>
              </w:rPr>
              <w:t>166.73 (18.65%)</w:t>
            </w:r>
          </w:p>
        </w:tc>
        <w:tc>
          <w:tcPr>
            <w:tcW w:type="dxa" w:w="1177"/>
          </w:tcPr>
          <w:p>
            <w:pPr>
              <w:jc w:val="left"/>
            </w:pPr>
            <w:r>
              <w:rPr>
                <w:rFonts w:ascii="SimSun" w:hAnsi="SimSun"/>
                <w:b w:val="0"/>
                <w:i w:val="0"/>
                <w:color w:val="000000"/>
                <w:sz w:val="16"/>
                <w:rFonts w:ascii="SimSun" w:hAnsi="SimSun" w:eastAsia="SimSun"/>
              </w:rPr>
              <w:t>706.3 (79.01%)</w:t>
            </w:r>
          </w:p>
        </w:tc>
      </w:tr>
      <w:tr>
        <w:tc>
          <w:tcPr>
            <w:tcW w:type="dxa" w:w="1177"/>
          </w:tcPr>
          <w:p>
            <w:pPr>
              <w:jc w:val="left"/>
            </w:pPr>
            <w:r>
              <w:rPr>
                <w:rFonts w:ascii="SimSun" w:hAnsi="SimSun"/>
                <w:b w:val="0"/>
                <w:i w:val="0"/>
                <w:color w:val="000000"/>
                <w:sz w:val="16"/>
                <w:rFonts w:ascii="SimSun" w:hAnsi="SimSun" w:eastAsia="SimSun"/>
              </w:rPr>
              <w:t>COVID-19 Delta 暴发期</w:t>
            </w:r>
          </w:p>
        </w:tc>
        <w:tc>
          <w:tcPr>
            <w:tcW w:type="dxa" w:w="1177"/>
          </w:tcPr>
          <w:p>
            <w:pPr>
              <w:jc w:val="center"/>
            </w:pPr>
            <w:r>
              <w:rPr>
                <w:rFonts w:ascii="SimSun" w:hAnsi="SimSun"/>
                <w:b w:val="0"/>
                <w:i w:val="0"/>
                <w:color w:val="000000"/>
                <w:sz w:val="16"/>
                <w:rFonts w:ascii="SimSun" w:hAnsi="SimSun" w:eastAsia="SimSun"/>
              </w:rPr>
              <w:t>8 周</w:t>
            </w:r>
          </w:p>
        </w:tc>
        <w:tc>
          <w:tcPr>
            <w:tcW w:type="dxa" w:w="1177"/>
          </w:tcPr>
          <w:p>
            <w:pPr>
              <w:jc w:val="center"/>
            </w:pPr>
            <w:r>
              <w:rPr>
                <w:rFonts w:ascii="SimSun" w:hAnsi="SimSun"/>
                <w:b w:val="0"/>
                <w:i w:val="0"/>
                <w:color w:val="000000"/>
                <w:sz w:val="16"/>
                <w:rFonts w:ascii="SimSun" w:hAnsi="SimSun" w:eastAsia="SimSun"/>
              </w:rPr>
              <w:t>11.91 代</w:t>
            </w:r>
          </w:p>
        </w:tc>
        <w:tc>
          <w:tcPr>
            <w:tcW w:type="dxa" w:w="1177"/>
          </w:tcPr>
          <w:p>
            <w:pPr>
              <w:jc w:val="left"/>
            </w:pPr>
            <w:r>
              <w:rPr>
                <w:rFonts w:ascii="SimSun" w:hAnsi="SimSun"/>
                <w:b w:val="0"/>
                <w:i w:val="0"/>
                <w:color w:val="000000"/>
                <w:sz w:val="16"/>
                <w:rFonts w:ascii="SimSun" w:hAnsi="SimSun" w:eastAsia="SimSun"/>
              </w:rPr>
              <w:t>2351.0 (100.0%)</w:t>
            </w:r>
          </w:p>
        </w:tc>
        <w:tc>
          <w:tcPr>
            <w:tcW w:type="dxa" w:w="1177"/>
          </w:tcPr>
          <w:p>
            <w:pPr>
              <w:jc w:val="left"/>
            </w:pPr>
            <w:r>
              <w:rPr>
                <w:rFonts w:ascii="SimSun" w:hAnsi="SimSun"/>
                <w:b w:val="0"/>
                <w:i w:val="0"/>
                <w:color w:val="000000"/>
                <w:sz w:val="16"/>
                <w:rFonts w:ascii="SimSun" w:hAnsi="SimSun" w:eastAsia="SimSun"/>
              </w:rPr>
              <w:t>1.08 (0.05%)</w:t>
            </w:r>
          </w:p>
        </w:tc>
        <w:tc>
          <w:tcPr>
            <w:tcW w:type="dxa" w:w="1177"/>
          </w:tcPr>
          <w:p>
            <w:pPr>
              <w:jc w:val="left"/>
            </w:pPr>
            <w:r>
              <w:rPr>
                <w:rFonts w:ascii="SimSun" w:hAnsi="SimSun"/>
                <w:b w:val="0"/>
                <w:i w:val="0"/>
                <w:color w:val="000000"/>
                <w:sz w:val="16"/>
                <w:rFonts w:ascii="SimSun" w:hAnsi="SimSun" w:eastAsia="SimSun"/>
              </w:rPr>
              <w:t>40.02 (1.70%)</w:t>
            </w:r>
          </w:p>
        </w:tc>
        <w:tc>
          <w:tcPr>
            <w:tcW w:type="dxa" w:w="1177"/>
          </w:tcPr>
          <w:p>
            <w:pPr>
              <w:jc w:val="left"/>
            </w:pPr>
            <w:r>
              <w:rPr>
                <w:rFonts w:ascii="SimSun" w:hAnsi="SimSun"/>
                <w:b w:val="0"/>
                <w:i w:val="0"/>
                <w:color w:val="000000"/>
                <w:sz w:val="16"/>
                <w:rFonts w:ascii="SimSun" w:hAnsi="SimSun" w:eastAsia="SimSun"/>
              </w:rPr>
              <w:t>666.94 (28.37%)</w:t>
            </w:r>
          </w:p>
        </w:tc>
        <w:tc>
          <w:tcPr>
            <w:tcW w:type="dxa" w:w="1177"/>
          </w:tcPr>
          <w:p>
            <w:pPr>
              <w:jc w:val="left"/>
            </w:pPr>
            <w:r>
              <w:rPr>
                <w:rFonts w:ascii="SimSun" w:hAnsi="SimSun"/>
                <w:b w:val="0"/>
                <w:i w:val="0"/>
                <w:color w:val="000000"/>
                <w:sz w:val="16"/>
                <w:rFonts w:ascii="SimSun" w:hAnsi="SimSun" w:eastAsia="SimSun"/>
              </w:rPr>
              <w:t>1643.0 (69.88%)</w:t>
            </w:r>
          </w:p>
        </w:tc>
      </w:tr>
      <w:tr>
        <w:tc>
          <w:tcPr>
            <w:tcW w:type="dxa" w:w="1177"/>
          </w:tcPr>
          <w:p>
            <w:pPr>
              <w:jc w:val="left"/>
            </w:pPr>
            <w:r>
              <w:rPr>
                <w:rFonts w:ascii="SimSun" w:hAnsi="SimSun"/>
                <w:b w:val="0"/>
                <w:i w:val="0"/>
                <w:color w:val="000000"/>
                <w:sz w:val="16"/>
                <w:rFonts w:ascii="SimSun" w:hAnsi="SimSun" w:eastAsia="SimSun"/>
              </w:rPr>
              <w:t>流感 2022–23 暴发早期</w:t>
            </w:r>
          </w:p>
        </w:tc>
        <w:tc>
          <w:tcPr>
            <w:tcW w:type="dxa" w:w="1177"/>
          </w:tcPr>
          <w:p>
            <w:pPr>
              <w:jc w:val="center"/>
            </w:pPr>
            <w:r>
              <w:rPr>
                <w:rFonts w:ascii="SimSun" w:hAnsi="SimSun"/>
                <w:b w:val="0"/>
                <w:i w:val="0"/>
                <w:color w:val="000000"/>
                <w:sz w:val="16"/>
                <w:rFonts w:ascii="SimSun" w:hAnsi="SimSun" w:eastAsia="SimSun"/>
              </w:rPr>
              <w:t>1 周</w:t>
            </w:r>
          </w:p>
        </w:tc>
        <w:tc>
          <w:tcPr>
            <w:tcW w:type="dxa" w:w="1177"/>
          </w:tcPr>
          <w:p>
            <w:pPr>
              <w:jc w:val="center"/>
            </w:pPr>
            <w:r>
              <w:rPr>
                <w:rFonts w:ascii="SimSun" w:hAnsi="SimSun"/>
                <w:b w:val="0"/>
                <w:i w:val="0"/>
                <w:color w:val="000000"/>
                <w:sz w:val="16"/>
                <w:rFonts w:ascii="SimSun" w:hAnsi="SimSun" w:eastAsia="SimSun"/>
              </w:rPr>
              <w:t>2.19 代</w:t>
            </w:r>
          </w:p>
        </w:tc>
        <w:tc>
          <w:tcPr>
            <w:tcW w:type="dxa" w:w="1177"/>
          </w:tcPr>
          <w:p>
            <w:pPr>
              <w:jc w:val="left"/>
            </w:pPr>
            <w:r>
              <w:rPr>
                <w:rFonts w:ascii="SimSun" w:hAnsi="SimSun"/>
                <w:b w:val="0"/>
                <w:i w:val="0"/>
                <w:color w:val="000000"/>
                <w:sz w:val="16"/>
                <w:rFonts w:ascii="SimSun" w:hAnsi="SimSun" w:eastAsia="SimSun"/>
              </w:rPr>
              <w:t>345.0 (100.0%)</w:t>
            </w:r>
          </w:p>
        </w:tc>
        <w:tc>
          <w:tcPr>
            <w:tcW w:type="dxa" w:w="1177"/>
          </w:tcPr>
          <w:p>
            <w:pPr>
              <w:jc w:val="left"/>
            </w:pPr>
            <w:r>
              <w:rPr>
                <w:rFonts w:ascii="SimSun" w:hAnsi="SimSun"/>
                <w:b w:val="0"/>
                <w:i w:val="0"/>
                <w:color w:val="000000"/>
                <w:sz w:val="16"/>
                <w:rFonts w:ascii="SimSun" w:hAnsi="SimSun" w:eastAsia="SimSun"/>
              </w:rPr>
              <w:t>4.24 (1.23%)</w:t>
            </w:r>
          </w:p>
        </w:tc>
        <w:tc>
          <w:tcPr>
            <w:tcW w:type="dxa" w:w="1177"/>
          </w:tcPr>
          <w:p>
            <w:pPr>
              <w:jc w:val="left"/>
            </w:pPr>
            <w:r>
              <w:rPr>
                <w:rFonts w:ascii="SimSun" w:hAnsi="SimSun"/>
                <w:b w:val="0"/>
                <w:i w:val="0"/>
                <w:color w:val="000000"/>
                <w:sz w:val="16"/>
                <w:rFonts w:ascii="SimSun" w:hAnsi="SimSun" w:eastAsia="SimSun"/>
              </w:rPr>
              <w:t>15.97 (4.63%)</w:t>
            </w:r>
          </w:p>
        </w:tc>
        <w:tc>
          <w:tcPr>
            <w:tcW w:type="dxa" w:w="1177"/>
          </w:tcPr>
          <w:p>
            <w:pPr>
              <w:jc w:val="left"/>
            </w:pPr>
            <w:r>
              <w:rPr>
                <w:rFonts w:ascii="SimSun" w:hAnsi="SimSun"/>
                <w:b w:val="0"/>
                <w:i w:val="0"/>
                <w:color w:val="000000"/>
                <w:sz w:val="16"/>
                <w:rFonts w:ascii="SimSun" w:hAnsi="SimSun" w:eastAsia="SimSun"/>
              </w:rPr>
              <w:t>74.27 (21.53%)</w:t>
            </w:r>
          </w:p>
        </w:tc>
        <w:tc>
          <w:tcPr>
            <w:tcW w:type="dxa" w:w="1177"/>
          </w:tcPr>
          <w:p>
            <w:pPr>
              <w:jc w:val="left"/>
            </w:pPr>
            <w:r>
              <w:rPr>
                <w:rFonts w:ascii="SimSun" w:hAnsi="SimSun"/>
                <w:b w:val="0"/>
                <w:i w:val="0"/>
                <w:color w:val="000000"/>
                <w:sz w:val="16"/>
                <w:rFonts w:ascii="SimSun" w:hAnsi="SimSun" w:eastAsia="SimSun"/>
              </w:rPr>
              <w:t>250.5 (72.62%)</w:t>
            </w:r>
          </w:p>
        </w:tc>
      </w:tr>
      <w:tr>
        <w:tc>
          <w:tcPr>
            <w:tcW w:type="dxa" w:w="1177"/>
          </w:tcPr>
          <w:p>
            <w:pPr>
              <w:jc w:val="left"/>
            </w:pPr>
            <w:r>
              <w:rPr>
                <w:rFonts w:ascii="SimSun" w:hAnsi="SimSun"/>
                <w:b w:val="0"/>
                <w:i w:val="0"/>
                <w:color w:val="000000"/>
                <w:sz w:val="16"/>
                <w:rFonts w:ascii="SimSun" w:hAnsi="SimSun" w:eastAsia="SimSun"/>
              </w:rPr>
              <w:t>流感 2022–23 暴发早期</w:t>
            </w:r>
          </w:p>
        </w:tc>
        <w:tc>
          <w:tcPr>
            <w:tcW w:type="dxa" w:w="1177"/>
          </w:tcPr>
          <w:p>
            <w:pPr>
              <w:jc w:val="center"/>
            </w:pPr>
            <w:r>
              <w:rPr>
                <w:rFonts w:ascii="SimSun" w:hAnsi="SimSun"/>
                <w:b w:val="0"/>
                <w:i w:val="0"/>
                <w:color w:val="000000"/>
                <w:sz w:val="16"/>
                <w:rFonts w:ascii="SimSun" w:hAnsi="SimSun" w:eastAsia="SimSun"/>
              </w:rPr>
              <w:t>4 周</w:t>
            </w:r>
          </w:p>
        </w:tc>
        <w:tc>
          <w:tcPr>
            <w:tcW w:type="dxa" w:w="1177"/>
          </w:tcPr>
          <w:p>
            <w:pPr>
              <w:jc w:val="center"/>
            </w:pPr>
            <w:r>
              <w:rPr>
                <w:rFonts w:ascii="SimSun" w:hAnsi="SimSun"/>
                <w:b w:val="0"/>
                <w:i w:val="0"/>
                <w:color w:val="000000"/>
                <w:sz w:val="16"/>
                <w:rFonts w:ascii="SimSun" w:hAnsi="SimSun" w:eastAsia="SimSun"/>
              </w:rPr>
              <w:t>8.75 代</w:t>
            </w:r>
          </w:p>
        </w:tc>
        <w:tc>
          <w:tcPr>
            <w:tcW w:type="dxa" w:w="1177"/>
          </w:tcPr>
          <w:p>
            <w:pPr>
              <w:jc w:val="left"/>
            </w:pPr>
            <w:r>
              <w:rPr>
                <w:rFonts w:ascii="SimSun" w:hAnsi="SimSun"/>
                <w:b w:val="0"/>
                <w:i w:val="0"/>
                <w:color w:val="000000"/>
                <w:sz w:val="16"/>
                <w:rFonts w:ascii="SimSun" w:hAnsi="SimSun" w:eastAsia="SimSun"/>
              </w:rPr>
              <w:t>1420.0 (100.0%)</w:t>
            </w:r>
          </w:p>
        </w:tc>
        <w:tc>
          <w:tcPr>
            <w:tcW w:type="dxa" w:w="1177"/>
          </w:tcPr>
          <w:p>
            <w:pPr>
              <w:jc w:val="left"/>
            </w:pPr>
            <w:r>
              <w:rPr>
                <w:rFonts w:ascii="SimSun" w:hAnsi="SimSun"/>
                <w:b w:val="0"/>
                <w:i w:val="0"/>
                <w:color w:val="000000"/>
                <w:sz w:val="16"/>
                <w:rFonts w:ascii="SimSun" w:hAnsi="SimSun" w:eastAsia="SimSun"/>
              </w:rPr>
              <w:t>7.59 (0.53%)</w:t>
            </w:r>
          </w:p>
        </w:tc>
        <w:tc>
          <w:tcPr>
            <w:tcW w:type="dxa" w:w="1177"/>
          </w:tcPr>
          <w:p>
            <w:pPr>
              <w:jc w:val="left"/>
            </w:pPr>
            <w:r>
              <w:rPr>
                <w:rFonts w:ascii="SimSun" w:hAnsi="SimSun"/>
                <w:b w:val="0"/>
                <w:i w:val="0"/>
                <w:color w:val="000000"/>
                <w:sz w:val="16"/>
                <w:rFonts w:ascii="SimSun" w:hAnsi="SimSun" w:eastAsia="SimSun"/>
              </w:rPr>
              <w:t>63.87 (4.50%)</w:t>
            </w:r>
          </w:p>
        </w:tc>
        <w:tc>
          <w:tcPr>
            <w:tcW w:type="dxa" w:w="1177"/>
          </w:tcPr>
          <w:p>
            <w:pPr>
              <w:jc w:val="left"/>
            </w:pPr>
            <w:r>
              <w:rPr>
                <w:rFonts w:ascii="SimSun" w:hAnsi="SimSun"/>
                <w:b w:val="0"/>
                <w:i w:val="0"/>
                <w:color w:val="000000"/>
                <w:sz w:val="16"/>
                <w:rFonts w:ascii="SimSun" w:hAnsi="SimSun" w:eastAsia="SimSun"/>
              </w:rPr>
              <w:t>1188.37 (83.69%)</w:t>
            </w:r>
          </w:p>
        </w:tc>
        <w:tc>
          <w:tcPr>
            <w:tcW w:type="dxa" w:w="1177"/>
          </w:tcPr>
          <w:p>
            <w:pPr>
              <w:jc w:val="left"/>
            </w:pPr>
            <w:r>
              <w:rPr>
                <w:rFonts w:ascii="SimSun" w:hAnsi="SimSun"/>
                <w:b w:val="0"/>
                <w:i w:val="0"/>
                <w:color w:val="000000"/>
                <w:sz w:val="16"/>
                <w:rFonts w:ascii="SimSun" w:hAnsi="SimSun" w:eastAsia="SimSun"/>
              </w:rPr>
              <w:t>160.2 (11.28%)</w:t>
            </w:r>
          </w:p>
        </w:tc>
      </w:tr>
      <w:tr>
        <w:tc>
          <w:tcPr>
            <w:tcW w:type="dxa" w:w="1177"/>
          </w:tcPr>
          <w:p>
            <w:pPr>
              <w:jc w:val="left"/>
            </w:pPr>
            <w:r>
              <w:rPr>
                <w:rFonts w:ascii="SimSun" w:hAnsi="SimSun"/>
                <w:b w:val="0"/>
                <w:i w:val="0"/>
                <w:color w:val="000000"/>
                <w:sz w:val="16"/>
                <w:rFonts w:ascii="SimSun" w:hAnsi="SimSun" w:eastAsia="SimSun"/>
              </w:rPr>
              <w:t>RSV 2024–25 流行季</w:t>
            </w:r>
          </w:p>
        </w:tc>
        <w:tc>
          <w:tcPr>
            <w:tcW w:type="dxa" w:w="1177"/>
          </w:tcPr>
          <w:p>
            <w:pPr>
              <w:jc w:val="center"/>
            </w:pPr>
            <w:r>
              <w:rPr>
                <w:rFonts w:ascii="SimSun" w:hAnsi="SimSun"/>
                <w:b w:val="0"/>
                <w:i w:val="0"/>
                <w:color w:val="000000"/>
                <w:sz w:val="16"/>
                <w:rFonts w:ascii="SimSun" w:hAnsi="SimSun" w:eastAsia="SimSun"/>
              </w:rPr>
              <w:t>2 周</w:t>
            </w:r>
          </w:p>
        </w:tc>
        <w:tc>
          <w:tcPr>
            <w:tcW w:type="dxa" w:w="1177"/>
          </w:tcPr>
          <w:p>
            <w:pPr>
              <w:jc w:val="center"/>
            </w:pPr>
            <w:r>
              <w:rPr>
                <w:rFonts w:ascii="SimSun" w:hAnsi="SimSun"/>
                <w:b w:val="0"/>
                <w:i w:val="0"/>
                <w:color w:val="000000"/>
                <w:sz w:val="16"/>
                <w:rFonts w:ascii="SimSun" w:hAnsi="SimSun" w:eastAsia="SimSun"/>
              </w:rPr>
              <w:t>1.67 代</w:t>
            </w:r>
          </w:p>
        </w:tc>
        <w:tc>
          <w:tcPr>
            <w:tcW w:type="dxa" w:w="1177"/>
          </w:tcPr>
          <w:p>
            <w:pPr>
              <w:jc w:val="left"/>
            </w:pPr>
            <w:r>
              <w:rPr>
                <w:rFonts w:ascii="SimSun" w:hAnsi="SimSun"/>
                <w:b w:val="0"/>
                <w:i w:val="0"/>
                <w:color w:val="000000"/>
                <w:sz w:val="16"/>
                <w:rFonts w:ascii="SimSun" w:hAnsi="SimSun" w:eastAsia="SimSun"/>
              </w:rPr>
              <w:t>185.0 (100.0%)</w:t>
            </w:r>
          </w:p>
        </w:tc>
        <w:tc>
          <w:tcPr>
            <w:tcW w:type="dxa" w:w="1177"/>
          </w:tcPr>
          <w:p>
            <w:pPr>
              <w:jc w:val="left"/>
            </w:pPr>
            <w:r>
              <w:rPr>
                <w:rFonts w:ascii="SimSun" w:hAnsi="SimSun"/>
                <w:b w:val="0"/>
                <w:i w:val="0"/>
                <w:color w:val="000000"/>
                <w:sz w:val="16"/>
                <w:rFonts w:ascii="SimSun" w:hAnsi="SimSun" w:eastAsia="SimSun"/>
              </w:rPr>
              <w:t>2.85 (1.54%)</w:t>
            </w:r>
          </w:p>
        </w:tc>
        <w:tc>
          <w:tcPr>
            <w:tcW w:type="dxa" w:w="1177"/>
          </w:tcPr>
          <w:p>
            <w:pPr>
              <w:jc w:val="left"/>
            </w:pPr>
            <w:r>
              <w:rPr>
                <w:rFonts w:ascii="SimSun" w:hAnsi="SimSun"/>
                <w:b w:val="0"/>
                <w:i w:val="0"/>
                <w:color w:val="000000"/>
                <w:sz w:val="16"/>
                <w:rFonts w:ascii="SimSun" w:hAnsi="SimSun" w:eastAsia="SimSun"/>
              </w:rPr>
              <w:t>4.12 (2.23%)</w:t>
            </w:r>
          </w:p>
        </w:tc>
        <w:tc>
          <w:tcPr>
            <w:tcW w:type="dxa" w:w="1177"/>
          </w:tcPr>
          <w:p>
            <w:pPr>
              <w:jc w:val="left"/>
            </w:pPr>
            <w:r>
              <w:rPr>
                <w:rFonts w:ascii="SimSun" w:hAnsi="SimSun"/>
                <w:b w:val="0"/>
                <w:i w:val="0"/>
                <w:color w:val="000000"/>
                <w:sz w:val="16"/>
                <w:rFonts w:ascii="SimSun" w:hAnsi="SimSun" w:eastAsia="SimSun"/>
              </w:rPr>
              <w:t>3.85 (2.08%)</w:t>
            </w:r>
          </w:p>
        </w:tc>
        <w:tc>
          <w:tcPr>
            <w:tcW w:type="dxa" w:w="1177"/>
          </w:tcPr>
          <w:p>
            <w:pPr>
              <w:jc w:val="left"/>
            </w:pPr>
            <w:r>
              <w:rPr>
                <w:rFonts w:ascii="SimSun" w:hAnsi="SimSun"/>
                <w:b w:val="0"/>
                <w:i w:val="0"/>
                <w:color w:val="000000"/>
                <w:sz w:val="16"/>
                <w:rFonts w:ascii="SimSun" w:hAnsi="SimSun" w:eastAsia="SimSun"/>
              </w:rPr>
              <w:t>174.2 (94.15%)</w:t>
            </w:r>
          </w:p>
        </w:tc>
      </w:tr>
      <w:tr>
        <w:tc>
          <w:tcPr>
            <w:tcW w:type="dxa" w:w="1177"/>
          </w:tcPr>
          <w:p>
            <w:pPr>
              <w:jc w:val="left"/>
            </w:pPr>
            <w:r>
              <w:rPr>
                <w:rFonts w:ascii="SimSun" w:hAnsi="SimSun"/>
                <w:b w:val="0"/>
                <w:i w:val="0"/>
                <w:color w:val="000000"/>
                <w:sz w:val="16"/>
                <w:rFonts w:ascii="SimSun" w:hAnsi="SimSun" w:eastAsia="SimSun"/>
              </w:rPr>
              <w:t>RSV 2024–25 流行季</w:t>
            </w:r>
          </w:p>
        </w:tc>
        <w:tc>
          <w:tcPr>
            <w:tcW w:type="dxa" w:w="1177"/>
          </w:tcPr>
          <w:p>
            <w:pPr>
              <w:jc w:val="center"/>
            </w:pPr>
            <w:r>
              <w:rPr>
                <w:rFonts w:ascii="SimSun" w:hAnsi="SimSun"/>
                <w:b w:val="0"/>
                <w:i w:val="0"/>
                <w:color w:val="000000"/>
                <w:sz w:val="16"/>
                <w:rFonts w:ascii="SimSun" w:hAnsi="SimSun" w:eastAsia="SimSun"/>
              </w:rPr>
              <w:t>4 周</w:t>
            </w:r>
          </w:p>
        </w:tc>
        <w:tc>
          <w:tcPr>
            <w:tcW w:type="dxa" w:w="1177"/>
          </w:tcPr>
          <w:p>
            <w:pPr>
              <w:jc w:val="center"/>
            </w:pPr>
            <w:r>
              <w:rPr>
                <w:rFonts w:ascii="SimSun" w:hAnsi="SimSun"/>
                <w:b w:val="0"/>
                <w:i w:val="0"/>
                <w:color w:val="000000"/>
                <w:sz w:val="16"/>
                <w:rFonts w:ascii="SimSun" w:hAnsi="SimSun" w:eastAsia="SimSun"/>
              </w:rPr>
              <w:t>3.33 代</w:t>
            </w:r>
          </w:p>
        </w:tc>
        <w:tc>
          <w:tcPr>
            <w:tcW w:type="dxa" w:w="1177"/>
          </w:tcPr>
          <w:p>
            <w:pPr>
              <w:jc w:val="left"/>
            </w:pPr>
            <w:r>
              <w:rPr>
                <w:rFonts w:ascii="SimSun" w:hAnsi="SimSun"/>
                <w:b w:val="0"/>
                <w:i w:val="0"/>
                <w:color w:val="000000"/>
                <w:sz w:val="16"/>
                <w:rFonts w:ascii="SimSun" w:hAnsi="SimSun" w:eastAsia="SimSun"/>
              </w:rPr>
              <w:t>620.0 (100.0%)</w:t>
            </w:r>
          </w:p>
        </w:tc>
        <w:tc>
          <w:tcPr>
            <w:tcW w:type="dxa" w:w="1177"/>
          </w:tcPr>
          <w:p>
            <w:pPr>
              <w:jc w:val="left"/>
            </w:pPr>
            <w:r>
              <w:rPr>
                <w:rFonts w:ascii="SimSun" w:hAnsi="SimSun"/>
                <w:b w:val="0"/>
                <w:i w:val="0"/>
                <w:color w:val="000000"/>
                <w:sz w:val="16"/>
                <w:rFonts w:ascii="SimSun" w:hAnsi="SimSun" w:eastAsia="SimSun"/>
              </w:rPr>
              <w:t>4.84 (0.78%)</w:t>
            </w:r>
          </w:p>
        </w:tc>
        <w:tc>
          <w:tcPr>
            <w:tcW w:type="dxa" w:w="1177"/>
          </w:tcPr>
          <w:p>
            <w:pPr>
              <w:jc w:val="left"/>
            </w:pPr>
            <w:r>
              <w:rPr>
                <w:rFonts w:ascii="SimSun" w:hAnsi="SimSun"/>
                <w:b w:val="0"/>
                <w:i w:val="0"/>
                <w:color w:val="000000"/>
                <w:sz w:val="16"/>
                <w:rFonts w:ascii="SimSun" w:hAnsi="SimSun" w:eastAsia="SimSun"/>
              </w:rPr>
              <w:t>8.24 (1.33%)</w:t>
            </w:r>
          </w:p>
        </w:tc>
        <w:tc>
          <w:tcPr>
            <w:tcW w:type="dxa" w:w="1177"/>
          </w:tcPr>
          <w:p>
            <w:pPr>
              <w:jc w:val="left"/>
            </w:pPr>
            <w:r>
              <w:rPr>
                <w:rFonts w:ascii="SimSun" w:hAnsi="SimSun"/>
                <w:b w:val="0"/>
                <w:i w:val="0"/>
                <w:color w:val="000000"/>
                <w:sz w:val="16"/>
                <w:rFonts w:ascii="SimSun" w:hAnsi="SimSun" w:eastAsia="SimSun"/>
              </w:rPr>
              <w:t>15.39 (2.48%)</w:t>
            </w:r>
          </w:p>
        </w:tc>
        <w:tc>
          <w:tcPr>
            <w:tcW w:type="dxa" w:w="1177"/>
          </w:tcPr>
          <w:p>
            <w:pPr>
              <w:jc w:val="left"/>
            </w:pPr>
            <w:r>
              <w:rPr>
                <w:rFonts w:ascii="SimSun" w:hAnsi="SimSun"/>
                <w:b w:val="0"/>
                <w:i w:val="0"/>
                <w:color w:val="000000"/>
                <w:sz w:val="16"/>
                <w:rFonts w:ascii="SimSun" w:hAnsi="SimSun" w:eastAsia="SimSun"/>
              </w:rPr>
              <w:t>591.5 (95.41%)</w:t>
            </w:r>
          </w:p>
        </w:tc>
      </w:tr>
      <w:tr>
        <w:tc>
          <w:tcPr>
            <w:tcW w:type="dxa" w:w="1177"/>
          </w:tcPr>
          <w:p>
            <w:pPr>
              <w:jc w:val="left"/>
            </w:pPr>
            <w:r>
              <w:rPr>
                <w:rFonts w:ascii="SimSun" w:hAnsi="SimSun"/>
                <w:b w:val="0"/>
                <w:i w:val="0"/>
                <w:color w:val="000000"/>
                <w:sz w:val="16"/>
                <w:rFonts w:ascii="SimSun" w:hAnsi="SimSun" w:eastAsia="SimSun"/>
              </w:rPr>
              <w:t>RSV 2025–26 流行季</w:t>
            </w:r>
          </w:p>
        </w:tc>
        <w:tc>
          <w:tcPr>
            <w:tcW w:type="dxa" w:w="1177"/>
          </w:tcPr>
          <w:p>
            <w:pPr>
              <w:jc w:val="center"/>
            </w:pPr>
            <w:r>
              <w:rPr>
                <w:rFonts w:ascii="SimSun" w:hAnsi="SimSun"/>
                <w:b w:val="0"/>
                <w:i w:val="0"/>
                <w:color w:val="000000"/>
                <w:sz w:val="16"/>
                <w:rFonts w:ascii="SimSun" w:hAnsi="SimSun" w:eastAsia="SimSun"/>
              </w:rPr>
              <w:t>2 周</w:t>
            </w:r>
          </w:p>
        </w:tc>
        <w:tc>
          <w:tcPr>
            <w:tcW w:type="dxa" w:w="1177"/>
          </w:tcPr>
          <w:p>
            <w:pPr>
              <w:jc w:val="center"/>
            </w:pPr>
            <w:r>
              <w:rPr>
                <w:rFonts w:ascii="SimSun" w:hAnsi="SimSun"/>
                <w:b w:val="0"/>
                <w:i w:val="0"/>
                <w:color w:val="000000"/>
                <w:sz w:val="16"/>
                <w:rFonts w:ascii="SimSun" w:hAnsi="SimSun" w:eastAsia="SimSun"/>
              </w:rPr>
              <w:t>1.67 代</w:t>
            </w:r>
          </w:p>
        </w:tc>
        <w:tc>
          <w:tcPr>
            <w:tcW w:type="dxa" w:w="1177"/>
          </w:tcPr>
          <w:p>
            <w:pPr>
              <w:jc w:val="left"/>
            </w:pPr>
            <w:r>
              <w:rPr>
                <w:rFonts w:ascii="SimSun" w:hAnsi="SimSun"/>
                <w:b w:val="0"/>
                <w:i w:val="0"/>
                <w:color w:val="000000"/>
                <w:sz w:val="16"/>
                <w:rFonts w:ascii="SimSun" w:hAnsi="SimSun" w:eastAsia="SimSun"/>
              </w:rPr>
              <w:t>142.0 (100.0%)</w:t>
            </w:r>
          </w:p>
        </w:tc>
        <w:tc>
          <w:tcPr>
            <w:tcW w:type="dxa" w:w="1177"/>
          </w:tcPr>
          <w:p>
            <w:pPr>
              <w:jc w:val="left"/>
            </w:pPr>
            <w:r>
              <w:rPr>
                <w:rFonts w:ascii="SimSun" w:hAnsi="SimSun"/>
                <w:b w:val="0"/>
                <w:i w:val="0"/>
                <w:color w:val="000000"/>
                <w:sz w:val="16"/>
                <w:rFonts w:ascii="SimSun" w:hAnsi="SimSun" w:eastAsia="SimSun"/>
              </w:rPr>
              <w:t>6.92 (4.88%)</w:t>
            </w:r>
          </w:p>
        </w:tc>
        <w:tc>
          <w:tcPr>
            <w:tcW w:type="dxa" w:w="1177"/>
          </w:tcPr>
          <w:p>
            <w:pPr>
              <w:jc w:val="left"/>
            </w:pPr>
            <w:r>
              <w:rPr>
                <w:rFonts w:ascii="SimSun" w:hAnsi="SimSun"/>
                <w:b w:val="0"/>
                <w:i w:val="0"/>
                <w:color w:val="000000"/>
                <w:sz w:val="16"/>
                <w:rFonts w:ascii="SimSun" w:hAnsi="SimSun" w:eastAsia="SimSun"/>
              </w:rPr>
              <w:t>2.97 (2.09%)</w:t>
            </w:r>
          </w:p>
        </w:tc>
        <w:tc>
          <w:tcPr>
            <w:tcW w:type="dxa" w:w="1177"/>
          </w:tcPr>
          <w:p>
            <w:pPr>
              <w:jc w:val="left"/>
            </w:pPr>
            <w:r>
              <w:rPr>
                <w:rFonts w:ascii="SimSun" w:hAnsi="SimSun"/>
                <w:b w:val="0"/>
                <w:i w:val="0"/>
                <w:color w:val="000000"/>
                <w:sz w:val="16"/>
                <w:rFonts w:ascii="SimSun" w:hAnsi="SimSun" w:eastAsia="SimSun"/>
              </w:rPr>
              <w:t>1.50 (1.05%)</w:t>
            </w:r>
          </w:p>
        </w:tc>
        <w:tc>
          <w:tcPr>
            <w:tcW w:type="dxa" w:w="1177"/>
          </w:tcPr>
          <w:p>
            <w:pPr>
              <w:jc w:val="left"/>
            </w:pPr>
            <w:r>
              <w:rPr>
                <w:rFonts w:ascii="SimSun" w:hAnsi="SimSun"/>
                <w:b w:val="0"/>
                <w:i w:val="0"/>
                <w:color w:val="000000"/>
                <w:sz w:val="16"/>
                <w:rFonts w:ascii="SimSun" w:hAnsi="SimSun" w:eastAsia="SimSun"/>
              </w:rPr>
              <w:t>130.6 (91.98%)</w:t>
            </w:r>
          </w:p>
        </w:tc>
      </w:tr>
      <w:tr>
        <w:tc>
          <w:tcPr>
            <w:tcW w:type="dxa" w:w="1177"/>
          </w:tcPr>
          <w:p>
            <w:pPr>
              <w:jc w:val="left"/>
            </w:pPr>
            <w:r>
              <w:rPr>
                <w:rFonts w:ascii="SimSun" w:hAnsi="SimSun"/>
                <w:b w:val="0"/>
                <w:i w:val="0"/>
                <w:color w:val="000000"/>
                <w:sz w:val="16"/>
                <w:rFonts w:ascii="SimSun" w:hAnsi="SimSun" w:eastAsia="SimSun"/>
              </w:rPr>
              <w:t>RSV 2025–26 流行季</w:t>
            </w:r>
          </w:p>
        </w:tc>
        <w:tc>
          <w:tcPr>
            <w:tcW w:type="dxa" w:w="1177"/>
          </w:tcPr>
          <w:p>
            <w:pPr>
              <w:jc w:val="center"/>
            </w:pPr>
            <w:r>
              <w:rPr>
                <w:rFonts w:ascii="SimSun" w:hAnsi="SimSun"/>
                <w:b w:val="0"/>
                <w:i w:val="0"/>
                <w:color w:val="000000"/>
                <w:sz w:val="16"/>
                <w:rFonts w:ascii="SimSun" w:hAnsi="SimSun" w:eastAsia="SimSun"/>
              </w:rPr>
              <w:t>4 周</w:t>
            </w:r>
          </w:p>
        </w:tc>
        <w:tc>
          <w:tcPr>
            <w:tcW w:type="dxa" w:w="1177"/>
          </w:tcPr>
          <w:p>
            <w:pPr>
              <w:jc w:val="center"/>
            </w:pPr>
            <w:r>
              <w:rPr>
                <w:rFonts w:ascii="SimSun" w:hAnsi="SimSun"/>
                <w:b w:val="0"/>
                <w:i w:val="0"/>
                <w:color w:val="000000"/>
                <w:sz w:val="16"/>
                <w:rFonts w:ascii="SimSun" w:hAnsi="SimSun" w:eastAsia="SimSun"/>
              </w:rPr>
              <w:t>3.33 代</w:t>
            </w:r>
          </w:p>
        </w:tc>
        <w:tc>
          <w:tcPr>
            <w:tcW w:type="dxa" w:w="1177"/>
          </w:tcPr>
          <w:p>
            <w:pPr>
              <w:jc w:val="left"/>
            </w:pPr>
            <w:r>
              <w:rPr>
                <w:rFonts w:ascii="SimSun" w:hAnsi="SimSun"/>
                <w:b w:val="0"/>
                <w:i w:val="0"/>
                <w:color w:val="000000"/>
                <w:sz w:val="16"/>
                <w:rFonts w:ascii="SimSun" w:hAnsi="SimSun" w:eastAsia="SimSun"/>
              </w:rPr>
              <w:t>485.0 (100.0%)</w:t>
            </w:r>
          </w:p>
        </w:tc>
        <w:tc>
          <w:tcPr>
            <w:tcW w:type="dxa" w:w="1177"/>
          </w:tcPr>
          <w:p>
            <w:pPr>
              <w:jc w:val="left"/>
            </w:pPr>
            <w:r>
              <w:rPr>
                <w:rFonts w:ascii="SimSun" w:hAnsi="SimSun"/>
                <w:b w:val="0"/>
                <w:i w:val="0"/>
                <w:color w:val="000000"/>
                <w:sz w:val="16"/>
                <w:rFonts w:ascii="SimSun" w:hAnsi="SimSun" w:eastAsia="SimSun"/>
              </w:rPr>
              <w:t>11.94 (2.46%)</w:t>
            </w:r>
          </w:p>
        </w:tc>
        <w:tc>
          <w:tcPr>
            <w:tcW w:type="dxa" w:w="1177"/>
          </w:tcPr>
          <w:p>
            <w:pPr>
              <w:jc w:val="left"/>
            </w:pPr>
            <w:r>
              <w:rPr>
                <w:rFonts w:ascii="SimSun" w:hAnsi="SimSun"/>
                <w:b w:val="0"/>
                <w:i w:val="0"/>
                <w:color w:val="000000"/>
                <w:sz w:val="16"/>
                <w:rFonts w:ascii="SimSun" w:hAnsi="SimSun" w:eastAsia="SimSun"/>
              </w:rPr>
              <w:t>5.94 (1.23%)</w:t>
            </w:r>
          </w:p>
        </w:tc>
        <w:tc>
          <w:tcPr>
            <w:tcW w:type="dxa" w:w="1177"/>
          </w:tcPr>
          <w:p>
            <w:pPr>
              <w:jc w:val="left"/>
            </w:pPr>
            <w:r>
              <w:rPr>
                <w:rFonts w:ascii="SimSun" w:hAnsi="SimSun"/>
                <w:b w:val="0"/>
                <w:i w:val="0"/>
                <w:color w:val="000000"/>
                <w:sz w:val="16"/>
                <w:rFonts w:ascii="SimSun" w:hAnsi="SimSun" w:eastAsia="SimSun"/>
              </w:rPr>
              <w:t>5.98 (1.23%)</w:t>
            </w:r>
          </w:p>
        </w:tc>
        <w:tc>
          <w:tcPr>
            <w:tcW w:type="dxa" w:w="1177"/>
          </w:tcPr>
          <w:p>
            <w:pPr>
              <w:jc w:val="left"/>
            </w:pPr>
            <w:r>
              <w:rPr>
                <w:rFonts w:ascii="SimSun" w:hAnsi="SimSun"/>
                <w:b w:val="0"/>
                <w:i w:val="0"/>
                <w:color w:val="000000"/>
                <w:sz w:val="16"/>
                <w:rFonts w:ascii="SimSun" w:hAnsi="SimSun" w:eastAsia="SimSun"/>
              </w:rPr>
              <w:t>461.1 (95.08%)</w:t>
            </w:r>
          </w:p>
        </w:tc>
      </w:tr>
    </w:tbl>
    <w:p>
      <w:pPr>
        <w:spacing w:before="80" w:after="40" w:line="288" w:lineRule="auto"/>
        <w:jc w:val="center"/>
      </w:pPr>
      <w:r>
        <w:rPr>
          <w:rFonts w:ascii="SimHei" w:hAnsi="SimHei"/>
          <w:b/>
          <w:i w:val="0"/>
          <w:color w:val="000000"/>
          <w:sz w:val="19"/>
          <w:rFonts w:ascii="SimHei" w:hAnsi="SimHei" w:eastAsia="SimHei"/>
        </w:rPr>
        <w:t>表 4  流行病实测预测误差四项全要素分解（绝对值 × 10^(-4) 与方差百分比）</w:t>
      </w:r>
    </w:p>
    <w:p>
      <w:pPr>
        <w:spacing w:before="0" w:after="160" w:line="288" w:lineRule="auto"/>
        <w:jc w:val="left"/>
      </w:pPr>
      <w:r>
        <w:rPr>
          <w:rFonts w:ascii="SimSun" w:hAnsi="SimSun"/>
          <w:b w:val="0"/>
          <w:i/>
          <w:color w:val="000000"/>
          <w:sz w:val="16"/>
          <w:rFonts w:ascii="SimSun" w:hAnsi="SimSun" w:eastAsia="SimSun"/>
        </w:rPr>
        <w:t>注：各项数值绝对值按 10^(-4) 计量，括号内为占该行实测总相对均方误差的百分比。前瞻步长严格按 h_gen = h_周 * 7 / μ_g 计算；评估原点数 M = 5。对九行实测记账各分量占总方差百分比计算 5 个原点的抽样标准误与极差（如 Delta h=1 周未归因余项均值为 92.58% ± 1.82%，极差 90.1%–94.8%；流感 4 周机制解释力均值为 88.72% ± 2.45%，极差 85.3%–91.5%；RSV 两季 4 周未归因余项均值分别为 95.41% ± 0.94% 与 95.08% ± 1.12%）；E_misspec 由记账恒等式残差定义闭合。</w:t>
      </w:r>
    </w:p>
    <w:p>
      <w:pPr>
        <w:spacing w:before="0" w:after="60" w:line="288" w:lineRule="auto"/>
        <w:ind w:firstLine="420"/>
        <w:jc w:val="left"/>
      </w:pPr>
      <w:r>
        <w:rPr>
          <w:rFonts w:ascii="SimSun" w:hAnsi="SimSun"/>
          <w:b w:val="0"/>
          <w:i w:val="0"/>
          <w:color w:val="000000"/>
          <w:sz w:val="21"/>
          <w:rFonts w:ascii="SimSun" w:hAnsi="SimSun" w:eastAsia="SimSun"/>
        </w:rPr>
        <w:t>实测分解表明：在短程（1–2 周）前瞻中，外生未归因结构性闭合余项占实测方差的 72.6%–95.4%（已建模机制项解释约 4.6%–27.4%）；而在多周长程累积中（特别是代间隔较短的流感在 4 周/8.75 代时），参数外推误差项 P(h) 随世代数平方呈几何级迅速放大，使已知动力学机制项联合解释力跃升至 88.7%（未归因余项收缩至 11.3%）。需要指出的是，RSV 两季在 4 周前瞻中的机制解释力仅为 4.59% 与 4.92%，未归因余项仍高达 95.1%–95.4%，这与其较长的代间隔（μ_g = 8.4 天）密切相关：4 周仅相当于 3.33 个代际，参数外推误差尚未进入几何爆炸阶段，实测误差仍由外生扰动主导。跨病原体异质性印证了代间隔标度在调控预测极限中的核心物理作用。</w:t>
      </w:r>
    </w:p>
    <w:p>
      <w:pPr>
        <w:spacing w:before="200" w:after="80" w:line="288" w:lineRule="auto"/>
        <w:jc w:val="left"/>
      </w:pPr>
      <w:r>
        <w:rPr>
          <w:rFonts w:ascii="SimHei" w:hAnsi="SimHei"/>
          <w:b/>
          <w:i w:val="0"/>
          <w:color w:val="000000"/>
          <w:sz w:val="24"/>
          <w:rFonts w:ascii="SimHei" w:hAnsi="SimHei" w:eastAsia="SimHei"/>
        </w:rPr>
        <w:t>4.4  基于真实数据的伪实时滚动预测验证与技术衰退分析</w:t>
      </w:r>
    </w:p>
    <w:p>
      <w:pPr>
        <w:spacing w:before="0" w:after="60" w:line="288" w:lineRule="auto"/>
        <w:ind w:firstLine="420"/>
        <w:jc w:val="left"/>
      </w:pPr>
      <w:r>
        <w:rPr>
          <w:rFonts w:ascii="SimSun" w:hAnsi="SimSun"/>
          <w:b w:val="0"/>
          <w:i w:val="0"/>
          <w:color w:val="000000"/>
          <w:sz w:val="21"/>
          <w:rFonts w:ascii="SimSun" w:hAnsi="SimSun" w:eastAsia="SimSun"/>
        </w:rPr>
        <w:t>在逐周推进的伪实时滚动样本外评估中，机制模型在 h &lt;= 2–4 周内相对均方误差技能比为 0.38–0.89，显著优于持续性基线；在步长超越 4 周后，技能比在 h 约 3.8–4.6 周（Delta 4.5 ± 0.4 周，Omicron 3.8 ± 0.3 周，流感 4.1 ± 0.4 周，± 为 2,000 次 Block Bootstrap 标准误）穿过 1.0 发生反转。</w:t>
      </w:r>
    </w:p>
    <w:p>
      <w:pPr>
        <w:spacing w:before="0" w:after="60" w:line="288" w:lineRule="auto"/>
        <w:ind w:firstLine="420"/>
        <w:jc w:val="left"/>
      </w:pPr>
      <w:r>
        <w:rPr>
          <w:rFonts w:ascii="SimSun" w:hAnsi="SimSun"/>
          <w:b w:val="0"/>
          <w:i w:val="0"/>
          <w:color w:val="000000"/>
          <w:sz w:val="21"/>
          <w:rFonts w:ascii="SimSun" w:hAnsi="SimSun" w:eastAsia="SimSun"/>
        </w:rPr>
        <w:t>为定量检视理论机制视界 h* 与实测业务时效之间的对应关系，表 5 将理论精确根与滚动回测技能比穿过 1.0 的实测交叉点并列对照。</w:t>
      </w:r>
    </w:p>
    <w:tbl>
      <w:tblPr>
        <w:tblW w:type="auto" w:w="0"/>
        <w:jc w:val="center"/>
        <w:tblLook w:firstColumn="1" w:firstRow="1" w:lastColumn="0" w:lastRow="0" w:noHBand="0" w:noVBand="1" w:val="04A0"/>
        <w:tblBorders>
          <w:top w:val="single" w:sz="12" w:space="0" w:color="000000"/>
          <w:bottom w:val="single" w:sz="12" w:space="0" w:color="000000"/>
          <w:insideH w:val="none"/>
          <w:insideV w:val="none"/>
          <w:left w:val="none"/>
          <w:right w:val="none"/>
        </w:tblBorders>
      </w:tblPr>
      <w:tblGrid>
        <w:gridCol w:w="2354"/>
        <w:gridCol w:w="2354"/>
        <w:gridCol w:w="2354"/>
        <w:gridCol w:w="2354"/>
      </w:tblGrid>
      <w:tr>
        <w:tc>
          <w:tcPr>
            <w:tcW w:type="dxa" w:w="2354"/>
            <w:tcBorders>
              <w:bottom w:val="single" w:sz="6" w:space="0" w:color="000000"/>
            </w:tcBorders>
          </w:tcPr>
          <w:p>
            <w:pPr>
              <w:jc w:val="center"/>
            </w:pPr>
            <w:r>
              <w:rPr>
                <w:rFonts w:ascii="SimHei" w:hAnsi="SimHei"/>
                <w:b/>
                <w:i w:val="0"/>
                <w:color w:val="000000"/>
                <w:sz w:val="17"/>
                <w:rFonts w:ascii="SimHei" w:hAnsi="SimHei" w:eastAsia="SimHei"/>
              </w:rPr>
              <w:t>流行阶段 / 病原体</w:t>
            </w:r>
          </w:p>
        </w:tc>
        <w:tc>
          <w:tcPr>
            <w:tcW w:type="dxa" w:w="2354"/>
            <w:tcBorders>
              <w:bottom w:val="single" w:sz="6" w:space="0" w:color="000000"/>
            </w:tcBorders>
          </w:tcPr>
          <w:p>
            <w:pPr>
              <w:jc w:val="center"/>
            </w:pPr>
            <w:r>
              <w:rPr>
                <w:rFonts w:ascii="SimHei" w:hAnsi="SimHei"/>
                <w:b/>
                <w:i w:val="0"/>
                <w:color w:val="000000"/>
                <w:sz w:val="17"/>
                <w:rFonts w:ascii="SimHei" w:hAnsi="SimHei" w:eastAsia="SimHei"/>
              </w:rPr>
              <w:t>第一层：理论机制视界 h*_exact</w:t>
            </w:r>
          </w:p>
        </w:tc>
        <w:tc>
          <w:tcPr>
            <w:tcW w:type="dxa" w:w="2354"/>
            <w:tcBorders>
              <w:bottom w:val="single" w:sz="6" w:space="0" w:color="000000"/>
            </w:tcBorders>
          </w:tcPr>
          <w:p>
            <w:pPr>
              <w:jc w:val="center"/>
            </w:pPr>
            <w:r>
              <w:rPr>
                <w:rFonts w:ascii="SimHei" w:hAnsi="SimHei"/>
                <w:b/>
                <w:i w:val="0"/>
                <w:color w:val="000000"/>
                <w:sz w:val="17"/>
                <w:rFonts w:ascii="SimHei" w:hAnsi="SimHei" w:eastAsia="SimHei"/>
              </w:rPr>
              <w:t>第二层：实测业务技能时效</w:t>
            </w:r>
          </w:p>
        </w:tc>
        <w:tc>
          <w:tcPr>
            <w:tcW w:type="dxa" w:w="2354"/>
            <w:tcBorders>
              <w:bottom w:val="single" w:sz="6" w:space="0" w:color="000000"/>
            </w:tcBorders>
          </w:tcPr>
          <w:p>
            <w:pPr>
              <w:jc w:val="center"/>
            </w:pPr>
            <w:r>
              <w:rPr>
                <w:rFonts w:ascii="SimHei" w:hAnsi="SimHei"/>
                <w:b/>
                <w:i w:val="0"/>
                <w:color w:val="000000"/>
                <w:sz w:val="17"/>
                <w:rFonts w:ascii="SimHei" w:hAnsi="SimHei" w:eastAsia="SimHei"/>
              </w:rPr>
              <w:t>比值（第一层 / 第二层）</w:t>
            </w:r>
          </w:p>
        </w:tc>
      </w:tr>
      <w:tr>
        <w:tc>
          <w:tcPr>
            <w:tcW w:type="dxa" w:w="2354"/>
          </w:tcPr>
          <w:p>
            <w:pPr>
              <w:jc w:val="left"/>
            </w:pPr>
            <w:r>
              <w:rPr>
                <w:rFonts w:ascii="SimSun" w:hAnsi="SimSun"/>
                <w:b w:val="0"/>
                <w:i w:val="0"/>
                <w:color w:val="000000"/>
                <w:sz w:val="16"/>
                <w:rFonts w:ascii="SimSun" w:hAnsi="SimSun" w:eastAsia="SimSun"/>
              </w:rPr>
              <w:t>COVID-19 Delta 阶段</w:t>
            </w:r>
          </w:p>
        </w:tc>
        <w:tc>
          <w:tcPr>
            <w:tcW w:type="dxa" w:w="2354"/>
          </w:tcPr>
          <w:p>
            <w:pPr>
              <w:jc w:val="center"/>
            </w:pPr>
            <w:r>
              <w:rPr>
                <w:rFonts w:ascii="SimSun" w:hAnsi="SimSun"/>
                <w:b w:val="0"/>
                <w:i w:val="0"/>
                <w:color w:val="000000"/>
                <w:sz w:val="16"/>
                <w:rFonts w:ascii="SimSun" w:hAnsi="SimSun" w:eastAsia="SimSun"/>
              </w:rPr>
              <w:t>13.5 周 (95% CI 8.9–20.0 周)</w:t>
            </w:r>
          </w:p>
        </w:tc>
        <w:tc>
          <w:tcPr>
            <w:tcW w:type="dxa" w:w="2354"/>
          </w:tcPr>
          <w:p>
            <w:pPr>
              <w:jc w:val="center"/>
            </w:pPr>
            <w:r>
              <w:rPr>
                <w:rFonts w:ascii="SimSun" w:hAnsi="SimSun"/>
                <w:b w:val="0"/>
                <w:i w:val="0"/>
                <w:color w:val="000000"/>
                <w:sz w:val="16"/>
                <w:rFonts w:ascii="SimSun" w:hAnsi="SimSun" w:eastAsia="SimSun"/>
              </w:rPr>
              <w:t>4.5 ± 0.4 周</w:t>
            </w:r>
          </w:p>
        </w:tc>
        <w:tc>
          <w:tcPr>
            <w:tcW w:type="dxa" w:w="2354"/>
          </w:tcPr>
          <w:p>
            <w:pPr>
              <w:jc w:val="center"/>
            </w:pPr>
            <w:r>
              <w:rPr>
                <w:rFonts w:ascii="SimSun" w:hAnsi="SimSun"/>
                <w:b w:val="0"/>
                <w:i w:val="0"/>
                <w:color w:val="000000"/>
                <w:sz w:val="16"/>
                <w:rFonts w:ascii="SimSun" w:hAnsi="SimSun" w:eastAsia="SimSun"/>
              </w:rPr>
              <w:t>3.00 倍</w:t>
            </w:r>
          </w:p>
        </w:tc>
      </w:tr>
      <w:tr>
        <w:tc>
          <w:tcPr>
            <w:tcW w:type="dxa" w:w="2354"/>
          </w:tcPr>
          <w:p>
            <w:pPr>
              <w:jc w:val="left"/>
            </w:pPr>
            <w:r>
              <w:rPr>
                <w:rFonts w:ascii="SimSun" w:hAnsi="SimSun"/>
                <w:b w:val="0"/>
                <w:i w:val="0"/>
                <w:color w:val="000000"/>
                <w:sz w:val="16"/>
                <w:rFonts w:ascii="SimSun" w:hAnsi="SimSun" w:eastAsia="SimSun"/>
              </w:rPr>
              <w:t>流感 2022–23 阶段</w:t>
            </w:r>
          </w:p>
        </w:tc>
        <w:tc>
          <w:tcPr>
            <w:tcW w:type="dxa" w:w="2354"/>
          </w:tcPr>
          <w:p>
            <w:pPr>
              <w:jc w:val="center"/>
            </w:pPr>
            <w:r>
              <w:rPr>
                <w:rFonts w:ascii="SimSun" w:hAnsi="SimSun"/>
                <w:b w:val="0"/>
                <w:i w:val="0"/>
                <w:color w:val="000000"/>
                <w:sz w:val="16"/>
                <w:rFonts w:ascii="SimSun" w:hAnsi="SimSun" w:eastAsia="SimSun"/>
              </w:rPr>
              <w:t>5.1 周 (95% CI 3.3–10.2 周)</w:t>
            </w:r>
          </w:p>
        </w:tc>
        <w:tc>
          <w:tcPr>
            <w:tcW w:type="dxa" w:w="2354"/>
          </w:tcPr>
          <w:p>
            <w:pPr>
              <w:jc w:val="center"/>
            </w:pPr>
            <w:r>
              <w:rPr>
                <w:rFonts w:ascii="SimSun" w:hAnsi="SimSun"/>
                <w:b w:val="0"/>
                <w:i w:val="0"/>
                <w:color w:val="000000"/>
                <w:sz w:val="16"/>
                <w:rFonts w:ascii="SimSun" w:hAnsi="SimSun" w:eastAsia="SimSun"/>
              </w:rPr>
              <w:t>4.1 ± 0.4 周</w:t>
            </w:r>
          </w:p>
        </w:tc>
        <w:tc>
          <w:tcPr>
            <w:tcW w:type="dxa" w:w="2354"/>
          </w:tcPr>
          <w:p>
            <w:pPr>
              <w:jc w:val="center"/>
            </w:pPr>
            <w:r>
              <w:rPr>
                <w:rFonts w:ascii="SimSun" w:hAnsi="SimSun"/>
                <w:b w:val="0"/>
                <w:i w:val="0"/>
                <w:color w:val="000000"/>
                <w:sz w:val="16"/>
                <w:rFonts w:ascii="SimSun" w:hAnsi="SimSun" w:eastAsia="SimSun"/>
              </w:rPr>
              <w:t>1.24 倍</w:t>
            </w:r>
          </w:p>
        </w:tc>
      </w:tr>
      <w:tr>
        <w:tc>
          <w:tcPr>
            <w:tcW w:type="dxa" w:w="2354"/>
          </w:tcPr>
          <w:p>
            <w:pPr>
              <w:jc w:val="left"/>
            </w:pPr>
            <w:r>
              <w:rPr>
                <w:rFonts w:ascii="SimSun" w:hAnsi="SimSun"/>
                <w:b w:val="0"/>
                <w:i w:val="0"/>
                <w:color w:val="000000"/>
                <w:sz w:val="16"/>
                <w:rFonts w:ascii="SimSun" w:hAnsi="SimSun" w:eastAsia="SimSun"/>
              </w:rPr>
              <w:t>COVID-19 Omicron 阶段</w:t>
            </w:r>
          </w:p>
        </w:tc>
        <w:tc>
          <w:tcPr>
            <w:tcW w:type="dxa" w:w="2354"/>
          </w:tcPr>
          <w:p>
            <w:pPr>
              <w:jc w:val="center"/>
            </w:pPr>
            <w:r>
              <w:rPr>
                <w:rFonts w:ascii="SimSun" w:hAnsi="SimSun"/>
                <w:b w:val="0"/>
                <w:i w:val="0"/>
                <w:color w:val="000000"/>
                <w:sz w:val="16"/>
                <w:rFonts w:ascii="SimSun" w:hAnsi="SimSun" w:eastAsia="SimSun"/>
              </w:rPr>
              <w:t>2.9 周 (95% CI 1.8–6.0 周)</w:t>
            </w:r>
          </w:p>
        </w:tc>
        <w:tc>
          <w:tcPr>
            <w:tcW w:type="dxa" w:w="2354"/>
          </w:tcPr>
          <w:p>
            <w:pPr>
              <w:jc w:val="center"/>
            </w:pPr>
            <w:r>
              <w:rPr>
                <w:rFonts w:ascii="SimSun" w:hAnsi="SimSun"/>
                <w:b w:val="0"/>
                <w:i w:val="0"/>
                <w:color w:val="000000"/>
                <w:sz w:val="16"/>
                <w:rFonts w:ascii="SimSun" w:hAnsi="SimSun" w:eastAsia="SimSun"/>
              </w:rPr>
              <w:t>3.8 ± 0.3 周</w:t>
            </w:r>
          </w:p>
        </w:tc>
        <w:tc>
          <w:tcPr>
            <w:tcW w:type="dxa" w:w="2354"/>
          </w:tcPr>
          <w:p>
            <w:pPr>
              <w:jc w:val="center"/>
            </w:pPr>
            <w:r>
              <w:rPr>
                <w:rFonts w:ascii="SimSun" w:hAnsi="SimSun"/>
                <w:b w:val="0"/>
                <w:i w:val="0"/>
                <w:color w:val="000000"/>
                <w:sz w:val="16"/>
                <w:rFonts w:ascii="SimSun" w:hAnsi="SimSun" w:eastAsia="SimSun"/>
              </w:rPr>
              <w:t>0.76 倍</w:t>
            </w:r>
          </w:p>
        </w:tc>
      </w:tr>
    </w:tbl>
    <w:p>
      <w:pPr>
        <w:spacing w:before="80" w:after="40" w:line="288" w:lineRule="auto"/>
        <w:jc w:val="center"/>
      </w:pPr>
      <w:r>
        <w:rPr>
          <w:rFonts w:ascii="SimHei" w:hAnsi="SimHei"/>
          <w:b/>
          <w:i w:val="0"/>
          <w:color w:val="000000"/>
          <w:sz w:val="19"/>
          <w:rFonts w:ascii="SimHei" w:hAnsi="SimHei" w:eastAsia="SimHei"/>
        </w:rPr>
        <w:t>表 5  传染病理论机制可预测视界与实测业务可操作预测时效的双层对照</w:t>
      </w:r>
    </w:p>
    <w:p>
      <w:pPr>
        <w:spacing w:before="0" w:after="160" w:line="288" w:lineRule="auto"/>
        <w:jc w:val="left"/>
      </w:pPr>
      <w:r>
        <w:rPr>
          <w:rFonts w:ascii="SimSun" w:hAnsi="SimSun"/>
          <w:b w:val="0"/>
          <w:i/>
          <w:color w:val="000000"/>
          <w:sz w:val="16"/>
          <w:rFonts w:ascii="SimSun" w:hAnsi="SimSun" w:eastAsia="SimSun"/>
        </w:rPr>
        <w:t>注：第一层为 τ = 0.5 下全方差临界方程的数值精确根；第二层为滚动回测中点预测相对均方误差技能比穿过 1.0 的交叉点（± 表示基于 2,000 次区块 Bootstrap 重抽样计算的标准误）。</w:t>
      </w:r>
    </w:p>
    <w:p>
      <w:pPr>
        <w:spacing w:before="0" w:after="60" w:line="288" w:lineRule="auto"/>
        <w:ind w:firstLine="420"/>
        <w:jc w:val="left"/>
      </w:pPr>
      <w:r>
        <w:rPr>
          <w:rFonts w:ascii="SimSun" w:hAnsi="SimSun"/>
          <w:b w:val="0"/>
          <w:i w:val="0"/>
          <w:color w:val="000000"/>
          <w:sz w:val="21"/>
          <w:rFonts w:ascii="SimSun" w:hAnsi="SimSun" w:eastAsia="SimSun"/>
        </w:rPr>
        <w:t>深入剖析表明：对于 Delta（3.00 倍）与流感（1.24 倍），展现了理论天花板高于现实操作时效的一致层级关系；而对于 Omicron（0.76 倍），呈现出实测交叉点略长于理论物理视界的表象。这一反转具有深厚动力学机理：一方面 Omicron 早期爬坡推断标准误极高（δR = 0.0762），信噪比处于七阶段最低点（R/δR = 15.27），将第一层绝对误差容忍视界严重压缩；另一方面第二层滚动评估衡量的是相对持续性基线的相对技能比（MSE_model / MSE_persistence），在 Omicron 极端陡峭的暴发拐点期，朴素持续性外推自身的预测均方误差发生灾难性劣化，导致模型预测即便绝对误差已触及容忍度，但在相对评分上仍能在较长时间内显著优于迅速崩溃的基线，从而被动推迟了技能比穿越 1.0 的时点。这一发现深刻论证了构建双层分析框架的不可替代性：第一层度量绝对物理容忍极限，第二层表征相对业务基线的操作优势区间，两者互为补充。</w:t>
      </w:r>
    </w:p>
    <w:p>
      <w:pPr>
        <w:spacing w:before="280" w:after="120" w:line="288" w:lineRule="auto"/>
        <w:jc w:val="left"/>
      </w:pPr>
      <w:r>
        <w:rPr>
          <w:rFonts w:ascii="SimHei" w:hAnsi="SimHei"/>
          <w:b/>
          <w:i w:val="0"/>
          <w:color w:val="000000"/>
          <w:sz w:val="28"/>
          <w:rFonts w:ascii="SimHei" w:hAnsi="SimHei" w:eastAsia="SimHei"/>
        </w:rPr>
        <w:t>5  讨论与公共卫生启示</w:t>
      </w:r>
    </w:p>
    <w:p>
      <w:pPr>
        <w:spacing w:before="200" w:after="80" w:line="288" w:lineRule="auto"/>
        <w:jc w:val="left"/>
      </w:pPr>
      <w:r>
        <w:rPr>
          <w:rFonts w:ascii="SimHei" w:hAnsi="SimHei"/>
          <w:b/>
          <w:i w:val="0"/>
          <w:color w:val="000000"/>
          <w:sz w:val="24"/>
          <w:rFonts w:ascii="SimHei" w:hAnsi="SimHei" w:eastAsia="SimHei"/>
        </w:rPr>
        <w:t>5.1  公共卫生决策分级场景与可预测视界映射</w:t>
      </w:r>
    </w:p>
    <w:p>
      <w:pPr>
        <w:spacing w:before="0" w:after="60" w:line="288" w:lineRule="auto"/>
        <w:ind w:firstLine="420"/>
        <w:jc w:val="left"/>
      </w:pPr>
      <w:r>
        <w:rPr>
          <w:rFonts w:ascii="SimSun" w:hAnsi="SimSun"/>
          <w:b w:val="0"/>
          <w:i w:val="0"/>
          <w:color w:val="000000"/>
          <w:sz w:val="21"/>
          <w:rFonts w:ascii="SimSun" w:hAnsi="SimSun" w:eastAsia="SimSun"/>
        </w:rPr>
        <w:t>表 6 系统构建了七大阶段在四档误差容忍度下的完整 7 × 4 映射矩阵与分级决策指南。</w:t>
      </w:r>
    </w:p>
    <w:tbl>
      <w:tblPr>
        <w:tblW w:type="auto" w:w="0"/>
        <w:jc w:val="center"/>
        <w:tblLook w:firstColumn="1" w:firstRow="1" w:lastColumn="0" w:lastRow="0" w:noHBand="0" w:noVBand="1" w:val="04A0"/>
        <w:tblBorders>
          <w:top w:val="single" w:sz="12" w:space="0" w:color="000000"/>
          <w:bottom w:val="single" w:sz="12" w:space="0" w:color="000000"/>
          <w:insideH w:val="none"/>
          <w:insideV w:val="none"/>
          <w:left w:val="none"/>
          <w:right w:val="none"/>
        </w:tblBorders>
      </w:tblPr>
      <w:tblGrid>
        <w:gridCol w:w="1570"/>
        <w:gridCol w:w="1570"/>
        <w:gridCol w:w="1570"/>
        <w:gridCol w:w="1570"/>
        <w:gridCol w:w="1570"/>
        <w:gridCol w:w="1570"/>
      </w:tblGrid>
      <w:tr>
        <w:tc>
          <w:tcPr>
            <w:tcW w:type="dxa" w:w="1570"/>
            <w:tcBorders>
              <w:bottom w:val="single" w:sz="6" w:space="0" w:color="000000"/>
            </w:tcBorders>
          </w:tcPr>
          <w:p>
            <w:pPr>
              <w:jc w:val="center"/>
            </w:pPr>
            <w:r>
              <w:rPr>
                <w:rFonts w:ascii="SimHei" w:hAnsi="SimHei"/>
                <w:b/>
                <w:i w:val="0"/>
                <w:color w:val="000000"/>
                <w:sz w:val="17"/>
                <w:rFonts w:ascii="SimHei" w:hAnsi="SimHei" w:eastAsia="SimHei"/>
              </w:rPr>
              <w:t>流行波次 / 决策场景</w:t>
            </w:r>
          </w:p>
        </w:tc>
        <w:tc>
          <w:tcPr>
            <w:tcW w:type="dxa" w:w="1570"/>
            <w:tcBorders>
              <w:bottom w:val="single" w:sz="6" w:space="0" w:color="000000"/>
            </w:tcBorders>
          </w:tcPr>
          <w:p>
            <w:pPr>
              <w:jc w:val="center"/>
            </w:pPr>
            <w:r>
              <w:rPr>
                <w:rFonts w:ascii="SimHei" w:hAnsi="SimHei"/>
                <w:b/>
                <w:i w:val="0"/>
                <w:color w:val="000000"/>
                <w:sz w:val="17"/>
                <w:rFonts w:ascii="SimHei" w:hAnsi="SimHei" w:eastAsia="SimHei"/>
              </w:rPr>
              <w:t>τ = 0.20 (刚性生命线)</w:t>
            </w:r>
          </w:p>
        </w:tc>
        <w:tc>
          <w:tcPr>
            <w:tcW w:type="dxa" w:w="1570"/>
            <w:tcBorders>
              <w:bottom w:val="single" w:sz="6" w:space="0" w:color="000000"/>
            </w:tcBorders>
          </w:tcPr>
          <w:p>
            <w:pPr>
              <w:jc w:val="center"/>
            </w:pPr>
            <w:r>
              <w:rPr>
                <w:rFonts w:ascii="SimHei" w:hAnsi="SimHei"/>
                <w:b/>
                <w:i w:val="0"/>
                <w:color w:val="000000"/>
                <w:sz w:val="17"/>
                <w:rFonts w:ascii="SimHei" w:hAnsi="SimHei" w:eastAsia="SimHei"/>
              </w:rPr>
              <w:t>τ = 0.35 (资源调配线)</w:t>
            </w:r>
          </w:p>
        </w:tc>
        <w:tc>
          <w:tcPr>
            <w:tcW w:type="dxa" w:w="1570"/>
            <w:tcBorders>
              <w:bottom w:val="single" w:sz="6" w:space="0" w:color="000000"/>
            </w:tcBorders>
          </w:tcPr>
          <w:p>
            <w:pPr>
              <w:jc w:val="center"/>
            </w:pPr>
            <w:r>
              <w:rPr>
                <w:rFonts w:ascii="SimHei" w:hAnsi="SimHei"/>
                <w:b/>
                <w:i w:val="0"/>
                <w:color w:val="000000"/>
                <w:sz w:val="17"/>
                <w:rFonts w:ascii="SimHei" w:hAnsi="SimHei" w:eastAsia="SimHei"/>
              </w:rPr>
              <w:t>τ = 0.50 (群体干预线)</w:t>
            </w:r>
          </w:p>
        </w:tc>
        <w:tc>
          <w:tcPr>
            <w:tcW w:type="dxa" w:w="1570"/>
            <w:tcBorders>
              <w:bottom w:val="single" w:sz="6" w:space="0" w:color="000000"/>
            </w:tcBorders>
          </w:tcPr>
          <w:p>
            <w:pPr>
              <w:jc w:val="center"/>
            </w:pPr>
            <w:r>
              <w:rPr>
                <w:rFonts w:ascii="SimHei" w:hAnsi="SimHei"/>
                <w:b/>
                <w:i w:val="0"/>
                <w:color w:val="000000"/>
                <w:sz w:val="17"/>
                <w:rFonts w:ascii="SimHei" w:hAnsi="SimHei" w:eastAsia="SimHei"/>
              </w:rPr>
              <w:t>τ = 0.70 (战略规划线)</w:t>
            </w:r>
          </w:p>
        </w:tc>
        <w:tc>
          <w:tcPr>
            <w:tcW w:type="dxa" w:w="1570"/>
            <w:tcBorders>
              <w:bottom w:val="single" w:sz="6" w:space="0" w:color="000000"/>
            </w:tcBorders>
          </w:tcPr>
          <w:p>
            <w:pPr>
              <w:jc w:val="center"/>
            </w:pPr>
            <w:r>
              <w:rPr>
                <w:rFonts w:ascii="SimHei" w:hAnsi="SimHei"/>
                <w:b/>
                <w:i w:val="0"/>
                <w:color w:val="000000"/>
                <w:sz w:val="17"/>
                <w:rFonts w:ascii="SimHei" w:hAnsi="SimHei" w:eastAsia="SimHei"/>
              </w:rPr>
              <w:t>推荐业务预测与公共卫生风控策略</w:t>
            </w:r>
          </w:p>
        </w:tc>
      </w:tr>
      <w:tr>
        <w:tc>
          <w:tcPr>
            <w:tcW w:type="dxa" w:w="1570"/>
          </w:tcPr>
          <w:p>
            <w:pPr>
              <w:jc w:val="left"/>
            </w:pPr>
            <w:r>
              <w:rPr>
                <w:rFonts w:ascii="SimSun" w:hAnsi="SimSun"/>
                <w:b w:val="0"/>
                <w:i w:val="0"/>
                <w:color w:val="000000"/>
                <w:sz w:val="16"/>
                <w:rFonts w:ascii="SimSun" w:hAnsi="SimSun" w:eastAsia="SimSun"/>
              </w:rPr>
              <w:t>COVID-19 Delta 暴发期</w:t>
            </w:r>
          </w:p>
        </w:tc>
        <w:tc>
          <w:tcPr>
            <w:tcW w:type="dxa" w:w="1570"/>
          </w:tcPr>
          <w:p>
            <w:pPr>
              <w:jc w:val="center"/>
            </w:pPr>
            <w:r>
              <w:rPr>
                <w:rFonts w:ascii="SimSun" w:hAnsi="SimSun"/>
                <w:b w:val="0"/>
                <w:i w:val="0"/>
                <w:color w:val="000000"/>
                <w:sz w:val="16"/>
                <w:rFonts w:ascii="SimSun" w:hAnsi="SimSun" w:eastAsia="SimSun"/>
              </w:rPr>
              <w:t>6.0 周 (9.0 代)</w:t>
            </w:r>
          </w:p>
        </w:tc>
        <w:tc>
          <w:tcPr>
            <w:tcW w:type="dxa" w:w="1570"/>
          </w:tcPr>
          <w:p>
            <w:pPr>
              <w:jc w:val="center"/>
            </w:pPr>
            <w:r>
              <w:rPr>
                <w:rFonts w:ascii="SimSun" w:hAnsi="SimSun"/>
                <w:b w:val="0"/>
                <w:i w:val="0"/>
                <w:color w:val="000000"/>
                <w:sz w:val="16"/>
                <w:rFonts w:ascii="SimSun" w:hAnsi="SimSun" w:eastAsia="SimSun"/>
              </w:rPr>
              <w:t>10.1 周 (15.0 代)</w:t>
            </w:r>
          </w:p>
        </w:tc>
        <w:tc>
          <w:tcPr>
            <w:tcW w:type="dxa" w:w="1570"/>
          </w:tcPr>
          <w:p>
            <w:pPr>
              <w:jc w:val="center"/>
            </w:pPr>
            <w:r>
              <w:rPr>
                <w:rFonts w:ascii="SimSun" w:hAnsi="SimSun"/>
                <w:b w:val="0"/>
                <w:i w:val="0"/>
                <w:color w:val="000000"/>
                <w:sz w:val="16"/>
                <w:rFonts w:ascii="SimSun" w:hAnsi="SimSun" w:eastAsia="SimSun"/>
              </w:rPr>
              <w:t>13.5 周 (20.1 代)</w:t>
            </w:r>
          </w:p>
        </w:tc>
        <w:tc>
          <w:tcPr>
            <w:tcW w:type="dxa" w:w="1570"/>
          </w:tcPr>
          <w:p>
            <w:pPr>
              <w:jc w:val="center"/>
            </w:pPr>
            <w:r>
              <w:rPr>
                <w:rFonts w:ascii="SimSun" w:hAnsi="SimSun"/>
                <w:b w:val="0"/>
                <w:i w:val="0"/>
                <w:color w:val="000000"/>
                <w:sz w:val="16"/>
                <w:rFonts w:ascii="SimSun" w:hAnsi="SimSun" w:eastAsia="SimSun"/>
              </w:rPr>
              <w:t>17.2 周 (25.6 代)</w:t>
            </w:r>
          </w:p>
        </w:tc>
        <w:tc>
          <w:tcPr>
            <w:tcW w:type="dxa" w:w="1570"/>
          </w:tcPr>
          <w:p>
            <w:pPr>
              <w:jc w:val="left"/>
            </w:pPr>
            <w:r>
              <w:rPr>
                <w:rFonts w:ascii="SimSun" w:hAnsi="SimSun"/>
                <w:b w:val="0"/>
                <w:i w:val="0"/>
                <w:color w:val="000000"/>
                <w:sz w:val="16"/>
                <w:rFonts w:ascii="SimSun" w:hAnsi="SimSun" w:eastAsia="SimSun"/>
              </w:rPr>
              <w:t>低离散度波次，中长程外推平稳；采用集合预测中位数推进梯次床位筹备。</w:t>
            </w:r>
          </w:p>
        </w:tc>
      </w:tr>
      <w:tr>
        <w:tc>
          <w:tcPr>
            <w:tcW w:type="dxa" w:w="1570"/>
          </w:tcPr>
          <w:p>
            <w:pPr>
              <w:jc w:val="left"/>
            </w:pPr>
            <w:r>
              <w:rPr>
                <w:rFonts w:ascii="SimSun" w:hAnsi="SimSun"/>
                <w:b w:val="0"/>
                <w:i w:val="0"/>
                <w:color w:val="000000"/>
                <w:sz w:val="16"/>
                <w:rFonts w:ascii="SimSun" w:hAnsi="SimSun" w:eastAsia="SimSun"/>
              </w:rPr>
              <w:t>COVID-19 Omicron 达峰期</w:t>
            </w:r>
          </w:p>
        </w:tc>
        <w:tc>
          <w:tcPr>
            <w:tcW w:type="dxa" w:w="1570"/>
          </w:tcPr>
          <w:p>
            <w:pPr>
              <w:jc w:val="center"/>
            </w:pPr>
            <w:r>
              <w:rPr>
                <w:rFonts w:ascii="SimSun" w:hAnsi="SimSun"/>
                <w:b w:val="0"/>
                <w:i w:val="0"/>
                <w:color w:val="000000"/>
                <w:sz w:val="16"/>
                <w:rFonts w:ascii="SimSun" w:hAnsi="SimSun" w:eastAsia="SimSun"/>
              </w:rPr>
              <w:t>1.3 周 (3.0 代)</w:t>
            </w:r>
          </w:p>
        </w:tc>
        <w:tc>
          <w:tcPr>
            <w:tcW w:type="dxa" w:w="1570"/>
          </w:tcPr>
          <w:p>
            <w:pPr>
              <w:jc w:val="center"/>
            </w:pPr>
            <w:r>
              <w:rPr>
                <w:rFonts w:ascii="SimSun" w:hAnsi="SimSun"/>
                <w:b w:val="0"/>
                <w:i w:val="0"/>
                <w:color w:val="000000"/>
                <w:sz w:val="16"/>
                <w:rFonts w:ascii="SimSun" w:hAnsi="SimSun" w:eastAsia="SimSun"/>
              </w:rPr>
              <w:t>2.2 周 (5.1 代)</w:t>
            </w:r>
          </w:p>
        </w:tc>
        <w:tc>
          <w:tcPr>
            <w:tcW w:type="dxa" w:w="1570"/>
          </w:tcPr>
          <w:p>
            <w:pPr>
              <w:jc w:val="center"/>
            </w:pPr>
            <w:r>
              <w:rPr>
                <w:rFonts w:ascii="SimSun" w:hAnsi="SimSun"/>
                <w:b w:val="0"/>
                <w:i w:val="0"/>
                <w:color w:val="000000"/>
                <w:sz w:val="16"/>
                <w:rFonts w:ascii="SimSun" w:hAnsi="SimSun" w:eastAsia="SimSun"/>
              </w:rPr>
              <w:t>2.9 周 (6.8 代)</w:t>
            </w:r>
          </w:p>
        </w:tc>
        <w:tc>
          <w:tcPr>
            <w:tcW w:type="dxa" w:w="1570"/>
          </w:tcPr>
          <w:p>
            <w:pPr>
              <w:jc w:val="center"/>
            </w:pPr>
            <w:r>
              <w:rPr>
                <w:rFonts w:ascii="SimSun" w:hAnsi="SimSun"/>
                <w:b w:val="0"/>
                <w:i w:val="0"/>
                <w:color w:val="000000"/>
                <w:sz w:val="16"/>
                <w:rFonts w:ascii="SimSun" w:hAnsi="SimSun" w:eastAsia="SimSun"/>
              </w:rPr>
              <w:t>3.8 周 (8.8 代)</w:t>
            </w:r>
          </w:p>
        </w:tc>
        <w:tc>
          <w:tcPr>
            <w:tcW w:type="dxa" w:w="1570"/>
          </w:tcPr>
          <w:p>
            <w:pPr>
              <w:jc w:val="left"/>
            </w:pPr>
            <w:r>
              <w:rPr>
                <w:rFonts w:ascii="SimSun" w:hAnsi="SimSun"/>
                <w:b w:val="0"/>
                <w:i w:val="0"/>
                <w:color w:val="000000"/>
                <w:sz w:val="16"/>
                <w:rFonts w:ascii="SimSun" w:hAnsi="SimSun" w:eastAsia="SimSun"/>
              </w:rPr>
              <w:t>高传播超分散株，视界极度收缩；严控长程外推，实行见转折即报警的敏捷应急机制。</w:t>
            </w:r>
          </w:p>
        </w:tc>
      </w:tr>
      <w:tr>
        <w:tc>
          <w:tcPr>
            <w:tcW w:type="dxa" w:w="1570"/>
          </w:tcPr>
          <w:p>
            <w:pPr>
              <w:jc w:val="left"/>
            </w:pPr>
            <w:r>
              <w:rPr>
                <w:rFonts w:ascii="SimSun" w:hAnsi="SimSun"/>
                <w:b w:val="0"/>
                <w:i w:val="0"/>
                <w:color w:val="000000"/>
                <w:sz w:val="16"/>
                <w:rFonts w:ascii="SimSun" w:hAnsi="SimSun" w:eastAsia="SimSun"/>
              </w:rPr>
              <w:t>COVID-19 JN.1 流行期</w:t>
            </w:r>
          </w:p>
        </w:tc>
        <w:tc>
          <w:tcPr>
            <w:tcW w:type="dxa" w:w="1570"/>
          </w:tcPr>
          <w:p>
            <w:pPr>
              <w:jc w:val="center"/>
            </w:pPr>
            <w:r>
              <w:rPr>
                <w:rFonts w:ascii="SimSun" w:hAnsi="SimSun"/>
                <w:b w:val="0"/>
                <w:i w:val="0"/>
                <w:color w:val="000000"/>
                <w:sz w:val="16"/>
                <w:rFonts w:ascii="SimSun" w:hAnsi="SimSun" w:eastAsia="SimSun"/>
              </w:rPr>
              <w:t>1.9 周 (3.7 代)</w:t>
            </w:r>
          </w:p>
        </w:tc>
        <w:tc>
          <w:tcPr>
            <w:tcW w:type="dxa" w:w="1570"/>
          </w:tcPr>
          <w:p>
            <w:pPr>
              <w:jc w:val="center"/>
            </w:pPr>
            <w:r>
              <w:rPr>
                <w:rFonts w:ascii="SimSun" w:hAnsi="SimSun"/>
                <w:b w:val="0"/>
                <w:i w:val="0"/>
                <w:color w:val="000000"/>
                <w:sz w:val="16"/>
                <w:rFonts w:ascii="SimSun" w:hAnsi="SimSun" w:eastAsia="SimSun"/>
              </w:rPr>
              <w:t>3.1 周 (6.2 代)</w:t>
            </w:r>
          </w:p>
        </w:tc>
        <w:tc>
          <w:tcPr>
            <w:tcW w:type="dxa" w:w="1570"/>
          </w:tcPr>
          <w:p>
            <w:pPr>
              <w:jc w:val="center"/>
            </w:pPr>
            <w:r>
              <w:rPr>
                <w:rFonts w:ascii="SimSun" w:hAnsi="SimSun"/>
                <w:b w:val="0"/>
                <w:i w:val="0"/>
                <w:color w:val="000000"/>
                <w:sz w:val="16"/>
                <w:rFonts w:ascii="SimSun" w:hAnsi="SimSun" w:eastAsia="SimSun"/>
              </w:rPr>
              <w:t>4.2 周 (8.4 代)</w:t>
            </w:r>
          </w:p>
        </w:tc>
        <w:tc>
          <w:tcPr>
            <w:tcW w:type="dxa" w:w="1570"/>
          </w:tcPr>
          <w:p>
            <w:pPr>
              <w:jc w:val="center"/>
            </w:pPr>
            <w:r>
              <w:rPr>
                <w:rFonts w:ascii="SimSun" w:hAnsi="SimSun"/>
                <w:b w:val="0"/>
                <w:i w:val="0"/>
                <w:color w:val="000000"/>
                <w:sz w:val="16"/>
                <w:rFonts w:ascii="SimSun" w:hAnsi="SimSun" w:eastAsia="SimSun"/>
              </w:rPr>
              <w:t>5.4 周 (10.8 代)</w:t>
            </w:r>
          </w:p>
        </w:tc>
        <w:tc>
          <w:tcPr>
            <w:tcW w:type="dxa" w:w="1570"/>
          </w:tcPr>
          <w:p>
            <w:pPr>
              <w:jc w:val="left"/>
            </w:pPr>
            <w:r>
              <w:rPr>
                <w:rFonts w:ascii="SimSun" w:hAnsi="SimSun"/>
                <w:b w:val="0"/>
                <w:i w:val="0"/>
                <w:color w:val="000000"/>
                <w:sz w:val="16"/>
                <w:rFonts w:ascii="SimSun" w:hAnsi="SimSun" w:eastAsia="SimSun"/>
              </w:rPr>
              <w:t>亚临界平缓爬坡期；聚焦 2–4 周内抗病毒药物分发与易感高危人群重点防护。</w:t>
            </w:r>
          </w:p>
        </w:tc>
      </w:tr>
      <w:tr>
        <w:tc>
          <w:tcPr>
            <w:tcW w:type="dxa" w:w="1570"/>
          </w:tcPr>
          <w:p>
            <w:pPr>
              <w:jc w:val="left"/>
            </w:pPr>
            <w:r>
              <w:rPr>
                <w:rFonts w:ascii="SimSun" w:hAnsi="SimSun"/>
                <w:b w:val="0"/>
                <w:i w:val="0"/>
                <w:color w:val="000000"/>
                <w:sz w:val="16"/>
                <w:rFonts w:ascii="SimSun" w:hAnsi="SimSun" w:eastAsia="SimSun"/>
              </w:rPr>
              <w:t>流感 2022–23 暴发早期</w:t>
            </w:r>
          </w:p>
        </w:tc>
        <w:tc>
          <w:tcPr>
            <w:tcW w:type="dxa" w:w="1570"/>
          </w:tcPr>
          <w:p>
            <w:pPr>
              <w:jc w:val="center"/>
            </w:pPr>
            <w:r>
              <w:rPr>
                <w:rFonts w:ascii="SimSun" w:hAnsi="SimSun"/>
                <w:b w:val="0"/>
                <w:i w:val="0"/>
                <w:color w:val="000000"/>
                <w:sz w:val="16"/>
                <w:rFonts w:ascii="SimSun" w:hAnsi="SimSun" w:eastAsia="SimSun"/>
              </w:rPr>
              <w:t>2.3 周 (4.9 代)</w:t>
            </w:r>
          </w:p>
        </w:tc>
        <w:tc>
          <w:tcPr>
            <w:tcW w:type="dxa" w:w="1570"/>
          </w:tcPr>
          <w:p>
            <w:pPr>
              <w:jc w:val="center"/>
            </w:pPr>
            <w:r>
              <w:rPr>
                <w:rFonts w:ascii="SimSun" w:hAnsi="SimSun"/>
                <w:b w:val="0"/>
                <w:i w:val="0"/>
                <w:color w:val="000000"/>
                <w:sz w:val="16"/>
                <w:rFonts w:ascii="SimSun" w:hAnsi="SimSun" w:eastAsia="SimSun"/>
              </w:rPr>
              <w:t>3.8 周 (8.3 代)</w:t>
            </w:r>
          </w:p>
        </w:tc>
        <w:tc>
          <w:tcPr>
            <w:tcW w:type="dxa" w:w="1570"/>
          </w:tcPr>
          <w:p>
            <w:pPr>
              <w:jc w:val="center"/>
            </w:pPr>
            <w:r>
              <w:rPr>
                <w:rFonts w:ascii="SimSun" w:hAnsi="SimSun"/>
                <w:b w:val="0"/>
                <w:i w:val="0"/>
                <w:color w:val="000000"/>
                <w:sz w:val="16"/>
                <w:rFonts w:ascii="SimSun" w:hAnsi="SimSun" w:eastAsia="SimSun"/>
              </w:rPr>
              <w:t>5.1 周 (11.2 代)</w:t>
            </w:r>
          </w:p>
        </w:tc>
        <w:tc>
          <w:tcPr>
            <w:tcW w:type="dxa" w:w="1570"/>
          </w:tcPr>
          <w:p>
            <w:pPr>
              <w:jc w:val="center"/>
            </w:pPr>
            <w:r>
              <w:rPr>
                <w:rFonts w:ascii="SimSun" w:hAnsi="SimSun"/>
                <w:b w:val="0"/>
                <w:i w:val="0"/>
                <w:color w:val="000000"/>
                <w:sz w:val="16"/>
                <w:rFonts w:ascii="SimSun" w:hAnsi="SimSun" w:eastAsia="SimSun"/>
              </w:rPr>
              <w:t>6.5 周 (14.3 代)</w:t>
            </w:r>
          </w:p>
        </w:tc>
        <w:tc>
          <w:tcPr>
            <w:tcW w:type="dxa" w:w="1570"/>
          </w:tcPr>
          <w:p>
            <w:pPr>
              <w:jc w:val="left"/>
            </w:pPr>
            <w:r>
              <w:rPr>
                <w:rFonts w:ascii="SimSun" w:hAnsi="SimSun"/>
                <w:b w:val="0"/>
                <w:i w:val="0"/>
                <w:color w:val="000000"/>
                <w:sz w:val="16"/>
                <w:rFonts w:ascii="SimSun" w:hAnsi="SimSun" w:eastAsia="SimSun"/>
              </w:rPr>
              <w:t>快速早期爬坡季；在第 2–3 周完成儿科退热药及门急诊医疗运力跨区协同调配。</w:t>
            </w:r>
          </w:p>
        </w:tc>
      </w:tr>
      <w:tr>
        <w:tc>
          <w:tcPr>
            <w:tcW w:type="dxa" w:w="1570"/>
          </w:tcPr>
          <w:p>
            <w:pPr>
              <w:jc w:val="left"/>
            </w:pPr>
            <w:r>
              <w:rPr>
                <w:rFonts w:ascii="SimSun" w:hAnsi="SimSun"/>
                <w:b w:val="0"/>
                <w:i w:val="0"/>
                <w:color w:val="000000"/>
                <w:sz w:val="16"/>
                <w:rFonts w:ascii="SimSun" w:hAnsi="SimSun" w:eastAsia="SimSun"/>
              </w:rPr>
              <w:t>流感 2024–25 流行季</w:t>
            </w:r>
          </w:p>
        </w:tc>
        <w:tc>
          <w:tcPr>
            <w:tcW w:type="dxa" w:w="1570"/>
          </w:tcPr>
          <w:p>
            <w:pPr>
              <w:jc w:val="center"/>
            </w:pPr>
            <w:r>
              <w:rPr>
                <w:rFonts w:ascii="SimSun" w:hAnsi="SimSun"/>
                <w:b w:val="0"/>
                <w:i w:val="0"/>
                <w:color w:val="000000"/>
                <w:sz w:val="16"/>
                <w:rFonts w:ascii="SimSun" w:hAnsi="SimSun" w:eastAsia="SimSun"/>
              </w:rPr>
              <w:t>3.2 周 (7.0 代)</w:t>
            </w:r>
          </w:p>
        </w:tc>
        <w:tc>
          <w:tcPr>
            <w:tcW w:type="dxa" w:w="1570"/>
          </w:tcPr>
          <w:p>
            <w:pPr>
              <w:jc w:val="center"/>
            </w:pPr>
            <w:r>
              <w:rPr>
                <w:rFonts w:ascii="SimSun" w:hAnsi="SimSun"/>
                <w:b w:val="0"/>
                <w:i w:val="0"/>
                <w:color w:val="000000"/>
                <w:sz w:val="16"/>
                <w:rFonts w:ascii="SimSun" w:hAnsi="SimSun" w:eastAsia="SimSun"/>
              </w:rPr>
              <w:t>5.4 周 (11.7 代)</w:t>
            </w:r>
          </w:p>
        </w:tc>
        <w:tc>
          <w:tcPr>
            <w:tcW w:type="dxa" w:w="1570"/>
          </w:tcPr>
          <w:p>
            <w:pPr>
              <w:jc w:val="center"/>
            </w:pPr>
            <w:r>
              <w:rPr>
                <w:rFonts w:ascii="SimSun" w:hAnsi="SimSun"/>
                <w:b w:val="0"/>
                <w:i w:val="0"/>
                <w:color w:val="000000"/>
                <w:sz w:val="16"/>
                <w:rFonts w:ascii="SimSun" w:hAnsi="SimSun" w:eastAsia="SimSun"/>
              </w:rPr>
              <w:t>7.2 周 (15.8 代)</w:t>
            </w:r>
          </w:p>
        </w:tc>
        <w:tc>
          <w:tcPr>
            <w:tcW w:type="dxa" w:w="1570"/>
          </w:tcPr>
          <w:p>
            <w:pPr>
              <w:jc w:val="center"/>
            </w:pPr>
            <w:r>
              <w:rPr>
                <w:rFonts w:ascii="SimSun" w:hAnsi="SimSun"/>
                <w:b w:val="0"/>
                <w:i w:val="0"/>
                <w:color w:val="000000"/>
                <w:sz w:val="16"/>
                <w:rFonts w:ascii="SimSun" w:hAnsi="SimSun" w:eastAsia="SimSun"/>
              </w:rPr>
              <w:t>9.2 周 (20.1 代)</w:t>
            </w:r>
          </w:p>
        </w:tc>
        <w:tc>
          <w:tcPr>
            <w:tcW w:type="dxa" w:w="1570"/>
          </w:tcPr>
          <w:p>
            <w:pPr>
              <w:jc w:val="left"/>
            </w:pPr>
            <w:r>
              <w:rPr>
                <w:rFonts w:ascii="SimSun" w:hAnsi="SimSun"/>
                <w:b w:val="0"/>
                <w:i w:val="0"/>
                <w:color w:val="000000"/>
                <w:sz w:val="16"/>
                <w:rFonts w:ascii="SimSun" w:hAnsi="SimSun" w:eastAsia="SimSun"/>
              </w:rPr>
              <w:t>典型季节性流感波次；匹配 1–2 个月疫苗加强接种与高风险场所聚集管控预警。</w:t>
            </w:r>
          </w:p>
        </w:tc>
      </w:tr>
      <w:tr>
        <w:tc>
          <w:tcPr>
            <w:tcW w:type="dxa" w:w="1570"/>
          </w:tcPr>
          <w:p>
            <w:pPr>
              <w:jc w:val="left"/>
            </w:pPr>
            <w:r>
              <w:rPr>
                <w:rFonts w:ascii="SimSun" w:hAnsi="SimSun"/>
                <w:b w:val="0"/>
                <w:i w:val="0"/>
                <w:color w:val="000000"/>
                <w:sz w:val="16"/>
                <w:rFonts w:ascii="SimSun" w:hAnsi="SimSun" w:eastAsia="SimSun"/>
              </w:rPr>
              <w:t>RSV 2024–25 流行季</w:t>
            </w:r>
          </w:p>
        </w:tc>
        <w:tc>
          <w:tcPr>
            <w:tcW w:type="dxa" w:w="1570"/>
          </w:tcPr>
          <w:p>
            <w:pPr>
              <w:jc w:val="center"/>
            </w:pPr>
            <w:r>
              <w:rPr>
                <w:rFonts w:ascii="SimSun" w:hAnsi="SimSun"/>
                <w:b w:val="0"/>
                <w:i w:val="0"/>
                <w:color w:val="000000"/>
                <w:sz w:val="16"/>
                <w:rFonts w:ascii="SimSun" w:hAnsi="SimSun" w:eastAsia="SimSun"/>
              </w:rPr>
              <w:t>19.6 周 (16.3 代)†</w:t>
            </w:r>
          </w:p>
        </w:tc>
        <w:tc>
          <w:tcPr>
            <w:tcW w:type="dxa" w:w="1570"/>
          </w:tcPr>
          <w:p>
            <w:pPr>
              <w:jc w:val="center"/>
            </w:pPr>
            <w:r>
              <w:rPr>
                <w:rFonts w:ascii="SimSun" w:hAnsi="SimSun"/>
                <w:b w:val="0"/>
                <w:i w:val="0"/>
                <w:color w:val="000000"/>
                <w:sz w:val="16"/>
                <w:rFonts w:ascii="SimSun" w:hAnsi="SimSun" w:eastAsia="SimSun"/>
              </w:rPr>
              <w:t>32.8 周 (27.3 代)†</w:t>
            </w:r>
          </w:p>
        </w:tc>
        <w:tc>
          <w:tcPr>
            <w:tcW w:type="dxa" w:w="1570"/>
          </w:tcPr>
          <w:p>
            <w:pPr>
              <w:jc w:val="center"/>
            </w:pPr>
            <w:r>
              <w:rPr>
                <w:rFonts w:ascii="SimSun" w:hAnsi="SimSun"/>
                <w:b w:val="0"/>
                <w:i w:val="0"/>
                <w:color w:val="000000"/>
                <w:sz w:val="16"/>
                <w:rFonts w:ascii="SimSun" w:hAnsi="SimSun" w:eastAsia="SimSun"/>
              </w:rPr>
              <w:t>43.9 周 (36.6 代)†</w:t>
            </w:r>
          </w:p>
        </w:tc>
        <w:tc>
          <w:tcPr>
            <w:tcW w:type="dxa" w:w="1570"/>
          </w:tcPr>
          <w:p>
            <w:pPr>
              <w:jc w:val="center"/>
            </w:pPr>
            <w:r>
              <w:rPr>
                <w:rFonts w:ascii="SimSun" w:hAnsi="SimSun"/>
                <w:b w:val="0"/>
                <w:i w:val="0"/>
                <w:color w:val="000000"/>
                <w:sz w:val="16"/>
                <w:rFonts w:ascii="SimSun" w:hAnsi="SimSun" w:eastAsia="SimSun"/>
              </w:rPr>
              <w:t>56.1 周 (46.7 代)†</w:t>
            </w:r>
          </w:p>
        </w:tc>
        <w:tc>
          <w:tcPr>
            <w:tcW w:type="dxa" w:w="1570"/>
          </w:tcPr>
          <w:p>
            <w:pPr>
              <w:jc w:val="left"/>
            </w:pPr>
            <w:r>
              <w:rPr>
                <w:rFonts w:ascii="SimSun" w:hAnsi="SimSun"/>
                <w:b w:val="0"/>
                <w:i w:val="0"/>
                <w:color w:val="000000"/>
                <w:sz w:val="16"/>
                <w:rFonts w:ascii="SimSun" w:hAnsi="SimSun" w:eastAsia="SimSun"/>
              </w:rPr>
              <w:t>数学外推根超单流行季自然跨度（受 16–20 周截断约束）；转向宏观峰值高度与总负荷评估。</w:t>
            </w:r>
          </w:p>
        </w:tc>
      </w:tr>
      <w:tr>
        <w:tc>
          <w:tcPr>
            <w:tcW w:type="dxa" w:w="1570"/>
          </w:tcPr>
          <w:p>
            <w:pPr>
              <w:jc w:val="left"/>
            </w:pPr>
            <w:r>
              <w:rPr>
                <w:rFonts w:ascii="SimSun" w:hAnsi="SimSun"/>
                <w:b w:val="0"/>
                <w:i w:val="0"/>
                <w:color w:val="000000"/>
                <w:sz w:val="16"/>
                <w:rFonts w:ascii="SimSun" w:hAnsi="SimSun" w:eastAsia="SimSun"/>
              </w:rPr>
              <w:t>RSV 2025–26 流行季</w:t>
            </w:r>
          </w:p>
        </w:tc>
        <w:tc>
          <w:tcPr>
            <w:tcW w:type="dxa" w:w="1570"/>
          </w:tcPr>
          <w:p>
            <w:pPr>
              <w:jc w:val="center"/>
            </w:pPr>
            <w:r>
              <w:rPr>
                <w:rFonts w:ascii="SimSun" w:hAnsi="SimSun"/>
                <w:b w:val="0"/>
                <w:i w:val="0"/>
                <w:color w:val="000000"/>
                <w:sz w:val="16"/>
                <w:rFonts w:ascii="SimSun" w:hAnsi="SimSun" w:eastAsia="SimSun"/>
              </w:rPr>
              <w:t>30.8 周 (25.7 代)†</w:t>
            </w:r>
          </w:p>
        </w:tc>
        <w:tc>
          <w:tcPr>
            <w:tcW w:type="dxa" w:w="1570"/>
          </w:tcPr>
          <w:p>
            <w:pPr>
              <w:jc w:val="center"/>
            </w:pPr>
            <w:r>
              <w:rPr>
                <w:rFonts w:ascii="SimSun" w:hAnsi="SimSun"/>
                <w:b w:val="0"/>
                <w:i w:val="0"/>
                <w:color w:val="000000"/>
                <w:sz w:val="16"/>
                <w:rFonts w:ascii="SimSun" w:hAnsi="SimSun" w:eastAsia="SimSun"/>
              </w:rPr>
              <w:t>52.2 周 (43.5 代)†</w:t>
            </w:r>
          </w:p>
        </w:tc>
        <w:tc>
          <w:tcPr>
            <w:tcW w:type="dxa" w:w="1570"/>
          </w:tcPr>
          <w:p>
            <w:pPr>
              <w:jc w:val="center"/>
            </w:pPr>
            <w:r>
              <w:rPr>
                <w:rFonts w:ascii="SimSun" w:hAnsi="SimSun"/>
                <w:b w:val="0"/>
                <w:i w:val="0"/>
                <w:color w:val="000000"/>
                <w:sz w:val="16"/>
                <w:rFonts w:ascii="SimSun" w:hAnsi="SimSun" w:eastAsia="SimSun"/>
              </w:rPr>
              <w:t>70.1 周 (58.4 代)†</w:t>
            </w:r>
          </w:p>
        </w:tc>
        <w:tc>
          <w:tcPr>
            <w:tcW w:type="dxa" w:w="1570"/>
          </w:tcPr>
          <w:p>
            <w:pPr>
              <w:jc w:val="center"/>
            </w:pPr>
            <w:r>
              <w:rPr>
                <w:rFonts w:ascii="SimSun" w:hAnsi="SimSun"/>
                <w:b w:val="0"/>
                <w:i w:val="0"/>
                <w:color w:val="000000"/>
                <w:sz w:val="16"/>
                <w:rFonts w:ascii="SimSun" w:hAnsi="SimSun" w:eastAsia="SimSun"/>
              </w:rPr>
              <w:t>89.5 周 (74.6 代)†</w:t>
            </w:r>
          </w:p>
        </w:tc>
        <w:tc>
          <w:tcPr>
            <w:tcW w:type="dxa" w:w="1570"/>
          </w:tcPr>
          <w:p>
            <w:pPr>
              <w:jc w:val="left"/>
            </w:pPr>
            <w:r>
              <w:rPr>
                <w:rFonts w:ascii="SimSun" w:hAnsi="SimSun"/>
                <w:b w:val="0"/>
                <w:i w:val="0"/>
                <w:color w:val="000000"/>
                <w:sz w:val="16"/>
                <w:rFonts w:ascii="SimSun" w:hAnsi="SimSun" w:eastAsia="SimSun"/>
              </w:rPr>
              <w:t>极低初始增长波次；放弃长程点位预报，采用流行季宏观总发病包络区间。</w:t>
            </w:r>
          </w:p>
        </w:tc>
      </w:tr>
      <w:tr>
        <w:tc>
          <w:tcPr>
            <w:tcW w:type="dxa" w:w="1570"/>
          </w:tcPr>
          <w:p>
            <w:pPr>
              <w:jc w:val="left"/>
            </w:pPr>
            <w:r>
              <w:rPr>
                <w:rFonts w:ascii="SimSun" w:hAnsi="SimSun"/>
                <w:b/>
                <w:i w:val="0"/>
                <w:color w:val="000000"/>
                <w:sz w:val="16"/>
                <w:rFonts w:ascii="SimSun" w:hAnsi="SimSun" w:eastAsia="SimSun"/>
              </w:rPr>
              <w:t>非 RSV 视界总体区间</w:t>
            </w:r>
          </w:p>
        </w:tc>
        <w:tc>
          <w:tcPr>
            <w:tcW w:type="dxa" w:w="1570"/>
          </w:tcPr>
          <w:p>
            <w:pPr>
              <w:jc w:val="center"/>
            </w:pPr>
            <w:r>
              <w:rPr>
                <w:rFonts w:ascii="SimSun" w:hAnsi="SimSun"/>
                <w:b/>
                <w:i w:val="0"/>
                <w:color w:val="000000"/>
                <w:sz w:val="16"/>
                <w:rFonts w:ascii="SimSun" w:hAnsi="SimSun" w:eastAsia="SimSun"/>
              </w:rPr>
              <w:t>1.3–6.0 周</w:t>
            </w:r>
          </w:p>
        </w:tc>
        <w:tc>
          <w:tcPr>
            <w:tcW w:type="dxa" w:w="1570"/>
          </w:tcPr>
          <w:p>
            <w:pPr>
              <w:jc w:val="center"/>
            </w:pPr>
            <w:r>
              <w:rPr>
                <w:rFonts w:ascii="SimSun" w:hAnsi="SimSun"/>
                <w:b/>
                <w:i w:val="0"/>
                <w:color w:val="000000"/>
                <w:sz w:val="16"/>
                <w:rFonts w:ascii="SimSun" w:hAnsi="SimSun" w:eastAsia="SimSun"/>
              </w:rPr>
              <w:t>2.2–10.1 周</w:t>
            </w:r>
          </w:p>
        </w:tc>
        <w:tc>
          <w:tcPr>
            <w:tcW w:type="dxa" w:w="1570"/>
          </w:tcPr>
          <w:p>
            <w:pPr>
              <w:jc w:val="center"/>
            </w:pPr>
            <w:r>
              <w:rPr>
                <w:rFonts w:ascii="SimSun" w:hAnsi="SimSun"/>
                <w:b/>
                <w:i w:val="0"/>
                <w:color w:val="000000"/>
                <w:sz w:val="16"/>
                <w:rFonts w:ascii="SimSun" w:hAnsi="SimSun" w:eastAsia="SimSun"/>
              </w:rPr>
              <w:t>2.9–13.5 周</w:t>
            </w:r>
          </w:p>
        </w:tc>
        <w:tc>
          <w:tcPr>
            <w:tcW w:type="dxa" w:w="1570"/>
          </w:tcPr>
          <w:p>
            <w:pPr>
              <w:jc w:val="center"/>
            </w:pPr>
            <w:r>
              <w:rPr>
                <w:rFonts w:ascii="SimSun" w:hAnsi="SimSun"/>
                <w:b/>
                <w:i w:val="0"/>
                <w:color w:val="000000"/>
                <w:sz w:val="16"/>
                <w:rFonts w:ascii="SimSun" w:hAnsi="SimSun" w:eastAsia="SimSun"/>
              </w:rPr>
              <w:t>3.8–17.2 周</w:t>
            </w:r>
          </w:p>
        </w:tc>
        <w:tc>
          <w:tcPr>
            <w:tcW w:type="dxa" w:w="1570"/>
          </w:tcPr>
          <w:p>
            <w:pPr>
              <w:jc w:val="left"/>
            </w:pPr>
            <w:r>
              <w:rPr>
                <w:rFonts w:ascii="SimSun" w:hAnsi="SimSun"/>
                <w:b/>
                <w:i w:val="0"/>
                <w:color w:val="000000"/>
                <w:sz w:val="16"/>
                <w:rFonts w:ascii="SimSun" w:hAnsi="SimSun" w:eastAsia="SimSun"/>
              </w:rPr>
              <w:t>公卫应对全景：由战术刚性应急向战略资源储备梯次推进。</w:t>
            </w:r>
          </w:p>
        </w:tc>
      </w:tr>
      <w:tr>
        <w:tc>
          <w:tcPr>
            <w:tcW w:type="dxa" w:w="1570"/>
          </w:tcPr>
          <w:p>
            <w:pPr>
              <w:jc w:val="left"/>
            </w:pPr>
            <w:r>
              <w:rPr>
                <w:rFonts w:ascii="SimSun" w:hAnsi="SimSun"/>
                <w:b/>
                <w:i w:val="0"/>
                <w:color w:val="000000"/>
                <w:sz w:val="16"/>
                <w:rFonts w:ascii="SimSun" w:hAnsi="SimSun" w:eastAsia="SimSun"/>
              </w:rPr>
              <w:t>七阶段全体全量区间</w:t>
            </w:r>
          </w:p>
        </w:tc>
        <w:tc>
          <w:tcPr>
            <w:tcW w:type="dxa" w:w="1570"/>
          </w:tcPr>
          <w:p>
            <w:pPr>
              <w:jc w:val="center"/>
            </w:pPr>
            <w:r>
              <w:rPr>
                <w:rFonts w:ascii="SimSun" w:hAnsi="SimSun"/>
                <w:b/>
                <w:i w:val="0"/>
                <w:color w:val="000000"/>
                <w:sz w:val="16"/>
                <w:rFonts w:ascii="SimSun" w:hAnsi="SimSun" w:eastAsia="SimSun"/>
              </w:rPr>
              <w:t>1.3–30.8 周</w:t>
            </w:r>
          </w:p>
        </w:tc>
        <w:tc>
          <w:tcPr>
            <w:tcW w:type="dxa" w:w="1570"/>
          </w:tcPr>
          <w:p>
            <w:pPr>
              <w:jc w:val="center"/>
            </w:pPr>
            <w:r>
              <w:rPr>
                <w:rFonts w:ascii="SimSun" w:hAnsi="SimSun"/>
                <w:b/>
                <w:i w:val="0"/>
                <w:color w:val="000000"/>
                <w:sz w:val="16"/>
                <w:rFonts w:ascii="SimSun" w:hAnsi="SimSun" w:eastAsia="SimSun"/>
              </w:rPr>
              <w:t>2.2–52.2 周</w:t>
            </w:r>
          </w:p>
        </w:tc>
        <w:tc>
          <w:tcPr>
            <w:tcW w:type="dxa" w:w="1570"/>
          </w:tcPr>
          <w:p>
            <w:pPr>
              <w:jc w:val="center"/>
            </w:pPr>
            <w:r>
              <w:rPr>
                <w:rFonts w:ascii="SimSun" w:hAnsi="SimSun"/>
                <w:b/>
                <w:i w:val="0"/>
                <w:color w:val="000000"/>
                <w:sz w:val="16"/>
                <w:rFonts w:ascii="SimSun" w:hAnsi="SimSun" w:eastAsia="SimSun"/>
              </w:rPr>
              <w:t>2.9–70.1 周</w:t>
            </w:r>
          </w:p>
        </w:tc>
        <w:tc>
          <w:tcPr>
            <w:tcW w:type="dxa" w:w="1570"/>
          </w:tcPr>
          <w:p>
            <w:pPr>
              <w:jc w:val="center"/>
            </w:pPr>
            <w:r>
              <w:rPr>
                <w:rFonts w:ascii="SimSun" w:hAnsi="SimSun"/>
                <w:b/>
                <w:i w:val="0"/>
                <w:color w:val="000000"/>
                <w:sz w:val="16"/>
                <w:rFonts w:ascii="SimSun" w:hAnsi="SimSun" w:eastAsia="SimSun"/>
              </w:rPr>
              <w:t>3.8–89.5 周</w:t>
            </w:r>
          </w:p>
        </w:tc>
        <w:tc>
          <w:tcPr>
            <w:tcW w:type="dxa" w:w="1570"/>
          </w:tcPr>
          <w:p>
            <w:pPr>
              <w:jc w:val="left"/>
            </w:pPr>
            <w:r>
              <w:rPr>
                <w:rFonts w:ascii="SimSun" w:hAnsi="SimSun"/>
                <w:b/>
                <w:i w:val="0"/>
                <w:color w:val="000000"/>
                <w:sz w:val="16"/>
                <w:rFonts w:ascii="SimSun" w:hAnsi="SimSun" w:eastAsia="SimSun"/>
              </w:rPr>
              <w:t>严格对应表 2 动力学参数集与全方差临界方程的数值精确解。</w:t>
            </w:r>
          </w:p>
        </w:tc>
      </w:tr>
      <w:tr>
        <w:tc>
          <w:tcPr>
            <w:tcW w:type="dxa" w:w="1570"/>
          </w:tcPr>
          <w:p/>
        </w:tc>
        <w:tc>
          <w:tcPr>
            <w:tcW w:type="dxa" w:w="1570"/>
          </w:tcPr>
          <w:p/>
        </w:tc>
        <w:tc>
          <w:tcPr>
            <w:tcW w:type="dxa" w:w="1570"/>
          </w:tcPr>
          <w:p/>
        </w:tc>
        <w:tc>
          <w:tcPr>
            <w:tcW w:type="dxa" w:w="1570"/>
          </w:tcPr>
          <w:p/>
        </w:tc>
        <w:tc>
          <w:tcPr>
            <w:tcW w:type="dxa" w:w="1570"/>
          </w:tcPr>
          <w:p/>
        </w:tc>
        <w:tc>
          <w:tcPr>
            <w:tcW w:type="dxa" w:w="1570"/>
          </w:tcPr>
          <w:p/>
        </w:tc>
      </w:tr>
    </w:tbl>
    <w:p>
      <w:pPr>
        <w:spacing w:before="80" w:after="40" w:line="288" w:lineRule="auto"/>
        <w:jc w:val="center"/>
      </w:pPr>
      <w:r>
        <w:rPr>
          <w:rFonts w:ascii="SimHei" w:hAnsi="SimHei"/>
          <w:b/>
          <w:i w:val="0"/>
          <w:color w:val="000000"/>
          <w:sz w:val="19"/>
          <w:rFonts w:ascii="SimHei" w:hAnsi="SimHei" w:eastAsia="SimHei"/>
        </w:rPr>
        <w:t>表 6  多病原体全场景误差容忍度–理论预测视界精确映射与公共卫生分级决策指南</w:t>
      </w:r>
    </w:p>
    <w:p>
      <w:pPr>
        <w:spacing w:before="0" w:after="160" w:line="288" w:lineRule="auto"/>
        <w:jc w:val="left"/>
      </w:pPr>
      <w:r>
        <w:rPr>
          <w:rFonts w:ascii="SimSun" w:hAnsi="SimSun"/>
          <w:b w:val="0"/>
          <w:i/>
          <w:color w:val="000000"/>
          <w:sz w:val="16"/>
          <w:rFonts w:ascii="SimSun" w:hAnsi="SimSun" w:eastAsia="SimSun"/>
        </w:rPr>
        <w:t>注：各格标定视界 h* 严格基于全方差临界方程数值积分精确根算法复算，参数完全对齐表 2。周数按 h* * (μ_g / 7) 折算。† 标注表示 RSV 该档理论根超出实际单个呼吸道病毒流行季自然物理跨度（受 16–20 周截断约束）。需说明的是，由于参数推断存在置信区间，同一病原体在四档容忍度下的 95% 置信区间存在交叠；本表核心揭示的是容忍度 τ 与预测视界 h* 之间的近似线性标度关系（即容忍度放宽一倍，理论可用时效大致延长一倍）。四个容忍度档次映射四级公共卫生响应：（1）τ=0.20 对应 ICU 负压床位紧急扩容等刚性生命线决策；（2）τ=0.35 对应抗病毒药物战略储备调拨等资源调配线；（3）τ=0.50 对应学校错峰等群体干预线；（4）τ=0.70 对应跨年度疫苗评估等战略规划线。</w:t>
      </w:r>
    </w:p>
    <w:p>
      <w:pPr>
        <w:spacing w:before="200" w:after="80" w:line="288" w:lineRule="auto"/>
        <w:jc w:val="left"/>
      </w:pPr>
      <w:r>
        <w:rPr>
          <w:rFonts w:ascii="SimHei" w:hAnsi="SimHei"/>
          <w:b/>
          <w:i w:val="0"/>
          <w:color w:val="000000"/>
          <w:sz w:val="24"/>
          <w:rFonts w:ascii="SimHei" w:hAnsi="SimHei" w:eastAsia="SimHei"/>
        </w:rPr>
        <w:t>5.2  从微观理论极限到宏观预测业务的转化机制</w:t>
      </w:r>
    </w:p>
    <w:p>
      <w:pPr>
        <w:spacing w:before="0" w:after="60" w:line="288" w:lineRule="auto"/>
        <w:ind w:firstLine="420"/>
        <w:jc w:val="left"/>
      </w:pPr>
      <w:r>
        <w:rPr>
          <w:rFonts w:ascii="SimSun" w:hAnsi="SimSun"/>
          <w:b w:val="0"/>
          <w:i w:val="0"/>
          <w:color w:val="000000"/>
          <w:sz w:val="21"/>
          <w:rFonts w:ascii="SimSun" w:hAnsi="SimSun" w:eastAsia="SimSun"/>
        </w:rPr>
        <w:t>本文建立了系统在步长 h 处触发警报的充分必要判据：hat I_(t+h|t) - kappa * RMSE(h) &gt;= I_alert（h &lt;= h*，kappa 为统计置信乘子）。宏观监测需要累积至少 1,150–2,310 例报告病例才能获得等效的判定信噪比（若平均簇规模 m_c 在 2 到 20 之间浮动，对应门槛相应变动于 462 至 4,620 例之间），这为解释宏观预警信号滞后提供了第一性原理依据。</w:t>
      </w:r>
    </w:p>
    <w:p>
      <w:pPr>
        <w:spacing w:before="200" w:after="80" w:line="288" w:lineRule="auto"/>
        <w:jc w:val="left"/>
      </w:pPr>
      <w:r>
        <w:rPr>
          <w:rFonts w:ascii="SimHei" w:hAnsi="SimHei"/>
          <w:b/>
          <w:i w:val="0"/>
          <w:color w:val="000000"/>
          <w:sz w:val="24"/>
          <w:rFonts w:ascii="SimHei" w:hAnsi="SimHei" w:eastAsia="SimHei"/>
        </w:rPr>
        <w:t>5.3  健康公平性与伦理监测考量</w:t>
      </w:r>
    </w:p>
    <w:p>
      <w:pPr>
        <w:spacing w:before="0" w:after="60" w:line="288" w:lineRule="auto"/>
        <w:ind w:firstLine="420"/>
        <w:jc w:val="left"/>
      </w:pPr>
      <w:r>
        <w:rPr>
          <w:rFonts w:ascii="SimSun" w:hAnsi="SimSun"/>
          <w:b w:val="0"/>
          <w:i w:val="0"/>
          <w:color w:val="000000"/>
          <w:sz w:val="21"/>
          <w:rFonts w:ascii="SimSun" w:hAnsi="SimSun" w:eastAsia="SimSun"/>
        </w:rPr>
        <w:t>在将预测视界应用于资源分配时，必须高度警惕逆向马太效应：欠发达地区因临床采样网点稀疏导致报告率 rho 较低，进而引发估计方差 delta R 逆向膨胀（delta R_obs^2 正比于 1 / (rho * I0)），导致其理论视界被人为判定为较短。因此，公卫决策必须将“预测视界度量”与“基础资源兜底”相解耦，优先向视界较短的薄弱地区调拨流调支援力量。</w:t>
      </w:r>
    </w:p>
    <w:p>
      <w:pPr>
        <w:spacing w:before="200" w:after="80" w:line="288" w:lineRule="auto"/>
        <w:jc w:val="left"/>
      </w:pPr>
      <w:r>
        <w:rPr>
          <w:rFonts w:ascii="SimHei" w:hAnsi="SimHei"/>
          <w:b/>
          <w:i w:val="0"/>
          <w:color w:val="000000"/>
          <w:sz w:val="24"/>
          <w:rFonts w:ascii="SimHei" w:hAnsi="SimHei" w:eastAsia="SimHei"/>
        </w:rPr>
        <w:t>5.4  研究局限性与未来动力学拓展方向</w:t>
      </w:r>
    </w:p>
    <w:p>
      <w:pPr>
        <w:spacing w:before="0" w:after="60" w:line="288" w:lineRule="auto"/>
        <w:ind w:firstLine="420"/>
        <w:jc w:val="left"/>
      </w:pPr>
      <w:r>
        <w:rPr>
          <w:rFonts w:ascii="SimSun" w:hAnsi="SimSun"/>
          <w:b w:val="0"/>
          <w:i w:val="0"/>
          <w:color w:val="000000"/>
          <w:sz w:val="21"/>
          <w:rFonts w:ascii="SimSun" w:hAnsi="SimSun" w:eastAsia="SimSun"/>
        </w:rPr>
        <w:t>本研究在假设体系与方法学设计上存在以下实质性局限：</w:t>
      </w:r>
    </w:p>
    <w:p>
      <w:pPr>
        <w:spacing w:before="40" w:after="40" w:line="288" w:lineRule="auto"/>
        <w:ind w:firstLine="420"/>
        <w:jc w:val="left"/>
      </w:pPr>
      <w:r>
        <w:rPr>
          <w:rFonts w:ascii="SimSun" w:hAnsi="SimSun"/>
          <w:b w:val="0"/>
          <w:i w:val="0"/>
          <w:color w:val="000000"/>
          <w:sz w:val="20"/>
          <w:rFonts w:ascii="SimSun" w:hAnsi="SimSun" w:eastAsia="SimSun"/>
        </w:rPr>
        <w:t>1. 一阶 Delta 展开的渐近工作域与凸性偏置：领先阶闭式解相比精确数值根存在约 11.8%–16.1% 的系统性乐观偏置，高精度场景需配合精确数值求根器使用；</w:t>
      </w:r>
    </w:p>
    <w:p>
      <w:pPr>
        <w:spacing w:before="40" w:after="40" w:line="288" w:lineRule="auto"/>
        <w:ind w:firstLine="420"/>
        <w:jc w:val="left"/>
      </w:pPr>
      <w:r>
        <w:rPr>
          <w:rFonts w:ascii="SimSun" w:hAnsi="SimSun"/>
          <w:b w:val="0"/>
          <w:i w:val="0"/>
          <w:color w:val="000000"/>
          <w:sz w:val="20"/>
          <w:rFonts w:ascii="SimSun" w:hAnsi="SimSun" w:eastAsia="SimSun"/>
        </w:rPr>
        <w:t>2. 群体内在随机性方差下界的尺度依赖性：国家级宏观大样本聚合下内在方差下界份额 &lt;= 1.01%，但微观强过度离散或初发小暴发（I0 &lt;= 200）下占比可达 2.9%–13.4%，形成刚性下界约束；</w:t>
      </w:r>
    </w:p>
    <w:p>
      <w:pPr>
        <w:spacing w:before="40" w:after="40" w:line="288" w:lineRule="auto"/>
        <w:ind w:firstLine="420"/>
        <w:jc w:val="left"/>
      </w:pPr>
      <w:r>
        <w:rPr>
          <w:rFonts w:ascii="SimSun" w:hAnsi="SimSun"/>
          <w:b w:val="0"/>
          <w:i w:val="0"/>
          <w:color w:val="000000"/>
          <w:sz w:val="20"/>
          <w:rFonts w:ascii="SimSun" w:hAnsi="SimSun" w:eastAsia="SimSun"/>
        </w:rPr>
        <w:t>3. 离散度参数的宏微观脱钩：实证代入的 k_agg 为宏观周聚合过度离散度，大数定律平滑了个体微观超级传播参数 k_micro，尚未建立跨尺度映射理论；</w:t>
      </w:r>
    </w:p>
    <w:p>
      <w:pPr>
        <w:spacing w:before="40" w:after="40" w:line="288" w:lineRule="auto"/>
        <w:ind w:firstLine="420"/>
        <w:jc w:val="left"/>
      </w:pPr>
      <w:r>
        <w:rPr>
          <w:rFonts w:ascii="SimSun" w:hAnsi="SimSun"/>
          <w:b w:val="0"/>
          <w:i w:val="0"/>
          <w:color w:val="000000"/>
          <w:sz w:val="20"/>
          <w:rFonts w:ascii="SimSun" w:hAnsi="SimSun" w:eastAsia="SimSun"/>
        </w:rPr>
        <w:t>4. 无耗竭分支过程的长程外推失效：模型假设 R 恒定且宿主未耗竭，RSV 两季名义数学外推根显著超出单流行季物理跨度（16–20 周），必须辅以自然消退外部截断；</w:t>
      </w:r>
    </w:p>
    <w:p>
      <w:pPr>
        <w:spacing w:before="40" w:after="40" w:line="288" w:lineRule="auto"/>
        <w:ind w:firstLine="420"/>
        <w:jc w:val="left"/>
      </w:pPr>
      <w:r>
        <w:rPr>
          <w:rFonts w:ascii="SimSun" w:hAnsi="SimSun"/>
          <w:b w:val="0"/>
          <w:i w:val="0"/>
          <w:color w:val="000000"/>
          <w:sz w:val="20"/>
          <w:rFonts w:ascii="SimSun" w:hAnsi="SimSun" w:eastAsia="SimSun"/>
        </w:rPr>
        <w:t>5. 未归因闭合余项的描述性记账性质：E_misspec 系恒等式残差闭合项，不具备单一机制因果解释；实证评估原点样本量为 M = 5，精细统计推断仍有待更大规模多原点样本检验；</w:t>
      </w:r>
    </w:p>
    <w:p>
      <w:pPr>
        <w:spacing w:before="40" w:after="40" w:line="288" w:lineRule="auto"/>
        <w:ind w:firstLine="420"/>
        <w:jc w:val="left"/>
      </w:pPr>
      <w:r>
        <w:rPr>
          <w:rFonts w:ascii="SimSun" w:hAnsi="SimSun"/>
          <w:b w:val="0"/>
          <w:i w:val="0"/>
          <w:color w:val="000000"/>
          <w:sz w:val="20"/>
          <w:rFonts w:ascii="SimSun" w:hAnsi="SimSun" w:eastAsia="SimSun"/>
        </w:rPr>
        <w:t>6. 数据回填固化序列与实时业务预测的张力：为确立物理预测天花板采用了回填固化序列，而实时初报数据的回填滞后（Backfill Leakage）会进一步压缩业务视界；</w:t>
      </w:r>
    </w:p>
    <w:p>
      <w:pPr>
        <w:spacing w:before="40" w:after="40" w:line="288" w:lineRule="auto"/>
        <w:ind w:firstLine="420"/>
        <w:jc w:val="left"/>
      </w:pPr>
      <w:r>
        <w:rPr>
          <w:rFonts w:ascii="SimSun" w:hAnsi="SimSun"/>
          <w:b w:val="0"/>
          <w:i w:val="0"/>
          <w:color w:val="000000"/>
          <w:sz w:val="20"/>
          <w:rFonts w:ascii="SimSun" w:hAnsi="SimSun" w:eastAsia="SimSun"/>
        </w:rPr>
        <w:t>7. 多源监测流观测机制与容忍度的量纲协调：确诊数、住院数及实验室阳性数的抽样信噪比与漏报机制存在异质性，未来需发展自适应容忍度标定标准；</w:t>
      </w:r>
    </w:p>
    <w:p>
      <w:pPr>
        <w:spacing w:before="40" w:after="40" w:line="288" w:lineRule="auto"/>
        <w:ind w:firstLine="420"/>
        <w:jc w:val="left"/>
      </w:pPr>
      <w:r>
        <w:rPr>
          <w:rFonts w:ascii="SimSun" w:hAnsi="SimSun"/>
          <w:b w:val="0"/>
          <w:i w:val="0"/>
          <w:color w:val="000000"/>
          <w:sz w:val="20"/>
          <w:rFonts w:ascii="SimSun" w:hAnsi="SimSun" w:eastAsia="SimSun"/>
        </w:rPr>
        <w:t>8. 实用不可识别性与空间网络拓展：流行病动力学系统在部分观测下面临本质的参数不可识别性，未来应进一步与空间偏微分方程及复杂网络拓扑深度融合；</w:t>
      </w:r>
    </w:p>
    <w:p>
      <w:pPr>
        <w:spacing w:before="40" w:after="40" w:line="288" w:lineRule="auto"/>
        <w:ind w:firstLine="420"/>
        <w:jc w:val="left"/>
      </w:pPr>
      <w:r>
        <w:rPr>
          <w:rFonts w:ascii="SimSun" w:hAnsi="SimSun"/>
          <w:b w:val="0"/>
          <w:i w:val="0"/>
          <w:color w:val="000000"/>
          <w:sz w:val="20"/>
          <w:rFonts w:ascii="SimSun" w:hAnsi="SimSun" w:eastAsia="SimSun"/>
        </w:rPr>
        <w:t>9. 实证推断窗口局限于流行早期增长相位：本文七个阶段的推断窗口均选自流行初发上升期（W40–W44 或 W26–W30），结论严格适用于早期暴发爬坡期；虽然 4.2 节补充了三相位分层对照，但对达峰后回落期以及复杂多波次震荡期的视界特征仍需进一步系统建模；</w:t>
      </w:r>
    </w:p>
    <w:p>
      <w:pPr>
        <w:spacing w:before="40" w:after="40" w:line="288" w:lineRule="auto"/>
        <w:ind w:firstLine="420"/>
        <w:jc w:val="left"/>
      </w:pPr>
      <w:r>
        <w:rPr>
          <w:rFonts w:ascii="SimSun" w:hAnsi="SimSun"/>
          <w:b w:val="0"/>
          <w:i w:val="0"/>
          <w:color w:val="000000"/>
          <w:sz w:val="20"/>
          <w:rFonts w:ascii="SimSun" w:hAnsi="SimSun" w:eastAsia="SimSun"/>
        </w:rPr>
        <w:t>10. 评分指标与概率预测维度的局限性：样本外滚动评估采用了点预测均方误差与持续性外推基线，尽管对齐了 CDC 官方基线的中位数设定，但未直接纳入加权区间评分（WIS）与概率区间覆盖率，未来需将不确定性区间评分纳入统一评测框架。</w:t>
      </w:r>
    </w:p>
    <w:p>
      <w:pPr>
        <w:spacing w:before="280" w:after="120" w:line="288" w:lineRule="auto"/>
        <w:jc w:val="left"/>
      </w:pPr>
      <w:r>
        <w:rPr>
          <w:rFonts w:ascii="SimHei" w:hAnsi="SimHei"/>
          <w:b/>
          <w:i w:val="0"/>
          <w:color w:val="000000"/>
          <w:sz w:val="28"/>
          <w:rFonts w:ascii="SimHei" w:hAnsi="SimHei" w:eastAsia="SimHei"/>
        </w:rPr>
        <w:t>6  结论</w:t>
      </w:r>
    </w:p>
    <w:p>
      <w:pPr>
        <w:spacing w:before="0" w:after="60" w:line="288" w:lineRule="auto"/>
        <w:ind w:firstLine="420"/>
        <w:jc w:val="left"/>
      </w:pPr>
      <w:r>
        <w:rPr>
          <w:rFonts w:ascii="SimSun" w:hAnsi="SimSun"/>
          <w:b w:val="0"/>
          <w:i w:val="0"/>
          <w:color w:val="000000"/>
          <w:sz w:val="21"/>
          <w:rFonts w:ascii="SimSun" w:hAnsi="SimSun" w:eastAsia="SimSun"/>
        </w:rPr>
        <w:t>本文针对传染病前瞻预测在近临界阶段频繁发生系统性失效的理论难题，在负二项分支过程动力学框架下推导并建立了前瞻预测相对均方误差的理论加性分解，给出了可预测视界领先阶解析闭式解 h* 与高阶数值积分精确根 h*_exact。四项误差实测分解表明：在短程（1–2 周）尺度下，外生未归因结构性闭合余项占实测方差的 72.6%–94.2%（全量程达 95.4%）；而在多周长程累积中，已知动力学机制（特别是参数外推误差项）展现出几何级放大效应，在代间隔最短的流感 2022–23 暴发早期 4 周前瞻中机制解释力跃升至 88.7%（未归因余项收缩至 11.3%）。伪实时滚动样本外预测验证进一步证实业务可操作预测时效通常被压缩至 1–4 周。研究揭示了宏观大样本聚合下人口随机性被大数定律平滑而视界由参数推断主导、微观小规模暴发下内在随机性构成刚性约束的尺度依赖规律，确立了理论机制上限与业务可操作预测时效构成的双层分析框架，推动传染病监测预警从盲目追求远期外推转向基于数理极限的理性决策。</w:t>
      </w:r>
    </w:p>
    <w:p>
      <w:pPr>
        <w:spacing w:before="280" w:after="120" w:line="288" w:lineRule="auto"/>
        <w:jc w:val="left"/>
      </w:pPr>
      <w:r>
        <w:rPr>
          <w:rFonts w:ascii="SimHei" w:hAnsi="SimHei"/>
          <w:b/>
          <w:i w:val="0"/>
          <w:color w:val="000000"/>
          <w:sz w:val="28"/>
          <w:rFonts w:ascii="SimHei" w:hAnsi="SimHei" w:eastAsia="SimHei"/>
        </w:rPr>
        <w:t>声明与说明</w:t>
      </w:r>
    </w:p>
    <w:p>
      <w:pPr>
        <w:spacing w:before="0" w:after="60" w:line="288" w:lineRule="auto"/>
        <w:ind w:firstLine="420"/>
        <w:jc w:val="left"/>
      </w:pPr>
      <w:r>
        <w:rPr>
          <w:rFonts w:ascii="SimSun" w:hAnsi="SimSun"/>
          <w:b w:val="0"/>
          <w:i w:val="0"/>
          <w:color w:val="000000"/>
          <w:sz w:val="21"/>
          <w:rFonts w:ascii="SimSun" w:hAnsi="SimSun" w:eastAsia="SimSun"/>
        </w:rPr>
        <w:t>数据可用性声明（Data Availability）：本研究所使用的实证数据均来自美国疾病预防控制中心（CDC）公开监测数据库（COVID Data Tracker 数据集 pwn4-m3yp、NHSN 周度呼吸道住院监测指标、FluView 临床实验室序列、NREVSS 数据集 rgnm-fkqb，访问快照为 2026 年 3 月公开归档版）。所有清洗整理后的周度时间序列数据与全流程提取脚本均已开源存放于公开科学数据仓库中。</w:t>
      </w:r>
    </w:p>
    <w:p>
      <w:pPr>
        <w:spacing w:before="0" w:after="60" w:line="288" w:lineRule="auto"/>
        <w:ind w:firstLine="420"/>
        <w:jc w:val="left"/>
      </w:pPr>
      <w:r>
        <w:rPr>
          <w:rFonts w:ascii="SimSun" w:hAnsi="SimSun"/>
          <w:b w:val="0"/>
          <w:i w:val="0"/>
          <w:color w:val="000000"/>
          <w:sz w:val="21"/>
          <w:rFonts w:ascii="SimSun" w:hAnsi="SimSun" w:eastAsia="SimSun"/>
        </w:rPr>
        <w:t>代码与材料可用性（Code Availability）：本文涉及的所有推导复核脚本、高通量蒙特卡洛模拟程序、机器学习基准测试代码、h*_exact 积分求解器及逐周滚动回测脚本均已基于 Python 3.11 与开源科学计算栈编写，并在标准计算环境（配置 AMD Ryzen 9 7950X / Intel Core i9-13900K，32GB 内存，单次全流程复现运行约 15 分钟）下完成全面复现检验。主种子固定为 Seed 42，完整代码、配置文件与一键复现环境指南（environment.yml）已开源存放于匿名化公共代码仓库供同行审阅检验（访问链接：https://anonymous.4open.science/r/epidemic-predictability-limits-2026）。</w:t>
      </w:r>
    </w:p>
    <w:p>
      <w:pPr>
        <w:spacing w:before="0" w:after="60" w:line="288" w:lineRule="auto"/>
        <w:ind w:firstLine="420"/>
        <w:jc w:val="left"/>
      </w:pPr>
      <w:r>
        <w:rPr>
          <w:rFonts w:ascii="SimSun" w:hAnsi="SimSun"/>
          <w:b w:val="0"/>
          <w:i w:val="0"/>
          <w:color w:val="000000"/>
          <w:sz w:val="21"/>
          <w:rFonts w:ascii="SimSun" w:hAnsi="SimSun" w:eastAsia="SimSun"/>
        </w:rPr>
        <w:t>利益冲突声明（Conflict of Interest）：所有作者郑重声明不存在任何可能影响本研究客观性、公正性与独立性的直接或间接利益冲突。</w:t>
      </w:r>
    </w:p>
    <w:p>
      <w:pPr>
        <w:spacing w:before="0" w:after="60" w:line="288" w:lineRule="auto"/>
        <w:ind w:firstLine="420"/>
        <w:jc w:val="left"/>
      </w:pPr>
      <w:r>
        <w:rPr>
          <w:rFonts w:ascii="SimSun" w:hAnsi="SimSun"/>
          <w:b w:val="0"/>
          <w:i w:val="0"/>
          <w:color w:val="000000"/>
          <w:sz w:val="21"/>
          <w:rFonts w:ascii="SimSun" w:hAnsi="SimSun" w:eastAsia="SimSun"/>
        </w:rPr>
        <w:t>基金资助声明（Funding）：本研究未接受任何政府机构、商业企业或非营利性组织的专项基金资助，全部计算资源由作者所在单位的高性能计算平台提供支持。</w:t>
      </w:r>
    </w:p>
    <w:p>
      <w:pPr>
        <w:spacing w:before="0" w:after="60" w:line="288" w:lineRule="auto"/>
        <w:ind w:firstLine="420"/>
        <w:jc w:val="left"/>
      </w:pPr>
      <w:r>
        <w:rPr>
          <w:rFonts w:ascii="SimSun" w:hAnsi="SimSun"/>
          <w:b w:val="0"/>
          <w:i w:val="0"/>
          <w:color w:val="000000"/>
          <w:sz w:val="21"/>
          <w:rFonts w:ascii="SimSun" w:hAnsi="SimSun" w:eastAsia="SimSun"/>
        </w:rPr>
        <w:t>作者贡献说明（Author Contributions）：本稿件处于双盲同行评审阶段，特此隐去作者姓名与机构。所有作者在研究构思、数理推导、数值模拟、数据分析及论文撰写修订中均作出了实质性学术贡献。</w:t>
      </w:r>
    </w:p>
    <w:p>
      <w:pPr>
        <w:spacing w:before="0" w:after="60" w:line="288" w:lineRule="auto"/>
        <w:ind w:firstLine="420"/>
        <w:jc w:val="left"/>
      </w:pPr>
      <w:r>
        <w:rPr>
          <w:rFonts w:ascii="SimSun" w:hAnsi="SimSun"/>
          <w:b w:val="0"/>
          <w:i w:val="0"/>
          <w:color w:val="000000"/>
          <w:sz w:val="21"/>
          <w:rFonts w:ascii="SimSun" w:hAnsi="SimSun" w:eastAsia="SimSun"/>
        </w:rPr>
        <w:t>伦理审批与知情同意豁免声明（Ethics and IRB Statement）：依据美国联邦法规 45 CFR 46.104(d)(4) 及国际流行病学数据伦理准则，本研究完全基于公共可用、去标识化的公开国家级宏观监测数据开展二次分析，免于机构伦理审查委员会（IRB）审查与患者知情同意。</w:t>
      </w:r>
    </w:p>
    <w:p>
      <w:pPr>
        <w:spacing w:before="0" w:after="60" w:line="288" w:lineRule="auto"/>
        <w:ind w:firstLine="420"/>
        <w:jc w:val="left"/>
      </w:pPr>
      <w:r>
        <w:rPr>
          <w:rFonts w:ascii="SimSun" w:hAnsi="SimSun"/>
          <w:b w:val="0"/>
          <w:i w:val="0"/>
          <w:color w:val="000000"/>
          <w:sz w:val="21"/>
          <w:rFonts w:ascii="SimSun" w:hAnsi="SimSun" w:eastAsia="SimSun"/>
        </w:rPr>
        <w:t>生成式人工智能使用声明（Generative AI Statement）：作者在论文撰写与修订过程中使用了大语言模型工具辅助学术语言润色、排版语法校正与脚本代码格式化。所有动力学模型设计、数学推导、随机模拟、机器学习测试、数据提取与统计结果解释，均由作者独立完成、全面复核并严格承担完全学术责任。</w:t>
      </w:r>
    </w:p>
    <w:p>
      <w:pPr>
        <w:spacing w:before="0" w:after="60" w:line="288" w:lineRule="auto"/>
        <w:ind w:firstLine="420"/>
        <w:jc w:val="left"/>
      </w:pPr>
      <w:r>
        <w:rPr>
          <w:rFonts w:ascii="SimSun" w:hAnsi="SimSun"/>
          <w:b w:val="0"/>
          <w:i w:val="0"/>
          <w:color w:val="000000"/>
          <w:sz w:val="21"/>
          <w:rFonts w:ascii="SimSun" w:hAnsi="SimSun" w:eastAsia="SimSun"/>
        </w:rPr>
        <w:t>致谢（Acknowledgments）：衷心感谢美国疾病预防控制中心（CDC）公开透明的数据发布；感谢同行评审专家在理论严密性复核、数值精确性检验与实证口径校准方面提出的极具洞察力与建设性的宝贵意见。</w:t>
      </w:r>
    </w:p>
    <w:p>
      <w:pPr>
        <w:spacing w:before="280" w:after="120" w:line="288" w:lineRule="auto"/>
        <w:jc w:val="left"/>
      </w:pPr>
      <w:r>
        <w:rPr>
          <w:rFonts w:ascii="SimHei" w:hAnsi="SimHei"/>
          <w:b/>
          <w:i w:val="0"/>
          <w:color w:val="000000"/>
          <w:sz w:val="28"/>
          <w:rFonts w:ascii="SimHei" w:hAnsi="SimHei" w:eastAsia="SimHei"/>
        </w:rPr>
        <w:t>Predictability Horizons, Fundamental Limits, and Empirical Analysis of Epidemic Transmission Dynamics</w:t>
      </w:r>
    </w:p>
    <w:p>
      <w:pPr>
        <w:spacing w:before="80" w:after="120" w:line="288" w:lineRule="auto"/>
        <w:jc w:val="left"/>
      </w:pPr>
      <w:r>
        <w:rPr>
          <w:rFonts w:ascii="Arial" w:hAnsi="Arial"/>
          <w:b w:val="0"/>
          <w:i w:val="0"/>
          <w:color w:val="000000"/>
          <w:sz w:val="19"/>
          <w:rFonts w:ascii="Arial" w:hAnsi="Arial" w:eastAsia="SimSun"/>
        </w:rPr>
        <w:t>Abstract: Prospective forecasting of major infectious diseases frequently suffers from severe skill degradation near epidemic thresholds. Grounded in first-principles negative binomial branching processes, this study derives a rigorous additive decomposition of prospective relative mean squared error and analytical mappings for predictability horizons under an error tolerance, providing leading-order closed-form solutions and high-order numerical roots. The forecast error is decoupled into an irreducible microscopic demographic stochastic lower bound and a geometrically amplified parameter inference uncertainty term. We establish Cramér–Rao sample size lower bounds for supercritical outbreak identification and critical slowing-down scaling in near-critical quasi-stationary populations. Empirical evaluations across US CDC respiratory disease surveillance reveal theoretical predictability horizons of 2.9–13.5 weeks during early exponential growth phases, significantly contract during peak plateaus (e.g., 7.8 weeks for Delta), and undergo a dynamical regime shift toward micro-extinction and absorption during subcritical decline phases. A four-term error accounting decomposition demonstrates that short-term (1–2 weeks) forecast variance is dominated by unmodeled structural residuals (accounting for 72.6%–94.2%, up to 95.4% across horizons), whereas parameter extrapolation error rapidly dominates over longer horizons (explaining up to 88.7% in influenza). Pseudo-prospective rolling evaluations confirm that operational forecast skill degrades to naive persistence baselines within 1–4 weeks. This study establishes a two-tier analytical framework bridging theoretical mechanistic limits and operational forecasting horizons, providing an objective quantitative benchmark for public health early warning and risk-informed decision-making.</w:t>
      </w:r>
    </w:p>
    <w:p>
      <w:pPr>
        <w:spacing w:before="0" w:after="280" w:line="288" w:lineRule="auto"/>
        <w:jc w:val="left"/>
      </w:pPr>
      <w:r>
        <w:rPr>
          <w:rFonts w:ascii="Arial" w:hAnsi="Arial"/>
          <w:b/>
          <w:i w:val="0"/>
          <w:color w:val="000000"/>
          <w:sz w:val="19"/>
          <w:rFonts w:ascii="Arial" w:hAnsi="Arial" w:eastAsia="SimSun"/>
        </w:rPr>
        <w:t>Keywords: Epidemic forecasting; Predictability horizon; Branching process; Demographic stochasticity; Near-critical dynamics; Cramér–Rao lower bound; Model misspecification</w:t>
      </w:r>
    </w:p>
    <w:sectPr w:rsidR="00FC693F" w:rsidRPr="0006063C" w:rsidSect="00034616">
      <w:pgSz w:w="12240" w:h="15840"/>
      <w:pgMar w:top="1440" w:right="1411" w:bottom="1440" w:left="141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