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rFonts w:ascii="SimHei" w:hAnsi="SimHei"/>
          <w:b/>
          <w:i w:val="0"/>
          <w:color w:val="000000"/>
          <w:sz w:val="36"/>
          <w:rFonts w:ascii="SimHei" w:hAnsi="SimHei" w:eastAsia="SimHei"/>
        </w:rPr>
        <w:t>流行病传播动力学的可预测视界、极限机制与实证研究</w:t>
      </w:r>
    </w:p>
    <w:p>
      <w:pPr>
        <w:spacing w:before="0" w:after="280" w:line="288" w:lineRule="auto"/>
        <w:jc w:val="center"/>
      </w:pPr>
      <w:r>
        <w:rPr>
          <w:rFonts w:ascii="KaiTi" w:hAnsi="KaiTi"/>
          <w:b w:val="0"/>
          <w:i/>
          <w:color w:val="000000"/>
          <w:sz w:val="22"/>
          <w:rFonts w:ascii="KaiTi" w:hAnsi="KaiTi" w:eastAsia="KaiTi"/>
        </w:rPr>
        <w:t>（同行评议盲审修回稿 · Round 10 全要素重构版）</w:t>
      </w:r>
    </w:p>
    <w:p>
      <w:pPr>
        <w:spacing w:before="80" w:after="120" w:line="300" w:lineRule="auto"/>
        <w:ind w:firstLine="420"/>
        <w:jc w:val="left"/>
      </w:pPr>
      <w:r>
        <w:rPr>
          <w:rFonts w:ascii="SimSun" w:hAnsi="SimSun"/>
          <w:b w:val="0"/>
          <w:i w:val="0"/>
          <w:color w:val="000000"/>
          <w:sz w:val="20"/>
          <w:rFonts w:ascii="SimSun" w:hAnsi="SimSun" w:eastAsia="SimSun"/>
        </w:rPr>
        <w:t>摘要：针对重大传染病前瞻预测在近临界阶段频繁遭遇精度骤降与系统性失效的理论难题，本文借鉴生态学预测视界理论范式并拓展至分支动力学，推导了前瞻预测相对均方误差的理论加性分解，建立了预设误差容忍度 tau 下可预测视界的解析映射，给出领先阶信噪比标度律 h* ≈ tau(R/delta R)(mu_g/7) 与 40 节点高斯--厄米特求积精确数值根。研究将预测误差分解为微观人口随机性方差下界与随代际几何放大的参数推断误差，给出了负二项分支似然下的 Cramér–Rao 样本量门槛与有限种群临界慢化标度。基于美国疾病预防控制中心（CDC）真实周度监测数据的实证测算表明：在国家级宏观大样本聚合尺度下，大数定律使得微观人口随机性方差贡献微弱（占容忍度 tau^2 的比例不足 0.51%），宏观预测视界主要由推断信噪比与代间隔调控；在五个非 RSV 早期指数增长期中理论视界精确根为 2.9–13.5 周，达峰拐点期显著收缩（Delta 降至 7.8 周）；而 RSV 两季的无截断数学外推根达 43.9–70.1 周，显著超出呼吸道病毒单流行季 16–20 周的物理跨度，揭示了无耗竭假定在超长外推下的边界局限。描述性误差记账核算显示：已建模机制项解释了短程实测均方误差的 4.6%–27.4%（未建模结构性残差占 72.6%–94.2%），而长程累积中参数外推误差迅速上升（流感 4 周解释力达 88.7%）；伪实时滚动回测进一步证实实际业务操作时效通常被压缩至 1–4 周。本研究厘清了宏观大数平滑与微观随机硬界的分野，确立了理论机制上限与经验业务时效的双层基准框架，为传染病预警从盲目远期外推转向基于数理极限的理性决策提供了客观量化标尺。</w:t>
      </w:r>
    </w:p>
    <w:p>
      <w:pPr>
        <w:spacing w:before="0" w:after="240" w:line="288" w:lineRule="auto"/>
        <w:ind w:firstLine="420"/>
        <w:jc w:val="left"/>
      </w:pPr>
      <w:r>
        <w:rPr>
          <w:rFonts w:ascii="SimHei" w:hAnsi="SimHei"/>
          <w:b w:val="0"/>
          <w:i w:val="0"/>
          <w:color w:val="000000"/>
          <w:sz w:val="19"/>
          <w:rFonts w:ascii="SimHei" w:hAnsi="SimHei" w:eastAsia="SimHei"/>
        </w:rPr>
        <w:t>关键词：传染病预测；可预测视界；分支过程；人口随机性；近临界动力学；Cramér–Rao 下界；模型误设</w:t>
      </w:r>
    </w:p>
    <w:p>
      <w:pPr>
        <w:spacing w:before="280" w:after="120" w:line="288" w:lineRule="auto"/>
        <w:jc w:val="left"/>
      </w:pPr>
      <w:r>
        <w:rPr>
          <w:rFonts w:ascii="SimHei" w:hAnsi="SimHei"/>
          <w:b/>
          <w:i w:val="0"/>
          <w:color w:val="000000"/>
          <w:sz w:val="28"/>
          <w:rFonts w:ascii="SimHei" w:hAnsi="SimHei" w:eastAsia="SimHei"/>
        </w:rPr>
        <w:t>1  引言与文献回顾</w:t>
      </w:r>
    </w:p>
    <w:p>
      <w:pPr>
        <w:spacing w:before="200" w:after="80" w:line="288" w:lineRule="auto"/>
        <w:jc w:val="left"/>
      </w:pPr>
      <w:r>
        <w:rPr>
          <w:rFonts w:ascii="SimHei" w:hAnsi="SimHei"/>
          <w:b/>
          <w:i w:val="0"/>
          <w:color w:val="000000"/>
          <w:sz w:val="24"/>
          <w:rFonts w:ascii="SimHei" w:hAnsi="SimHei" w:eastAsia="SimHei"/>
        </w:rPr>
        <w:t>1.1  研究背景与核心科学问题</w:t>
      </w:r>
    </w:p>
    <w:p>
      <w:pPr>
        <w:spacing w:before="0" w:after="60" w:line="288" w:lineRule="auto"/>
        <w:ind w:firstLine="420"/>
        <w:jc w:val="left"/>
      </w:pPr>
      <w:r>
        <w:rPr>
          <w:rFonts w:ascii="SimSun" w:hAnsi="SimSun"/>
          <w:b w:val="0"/>
          <w:i w:val="0"/>
          <w:color w:val="000000"/>
          <w:sz w:val="21"/>
          <w:rFonts w:ascii="SimSun" w:hAnsi="SimSun" w:eastAsia="SimSun"/>
        </w:rPr>
        <w:t>传染病前瞻性预测是公共卫生应急响应与医疗资源梯次调配的核心支撑。然而国内外流行病预测系统普遍面临中长程预测性能断崖式衰减的系统性困境。在生态学与复杂动力系统预测领域，Petchey 等（2015）奠基性地提出了预测视界（Forecast Horizon）概念框架，将预测能力跌破特定误差容忍度阈值的时刻定义为视界，并阐明了人口统计随机性与参数不确定性对视界的作用；Dietze（2017）倡导将预测误差分解为初始条件不确定性、驱动变量误差、参数推断方差与模型结构误设等多源要素；Wesselkamp 等（2025）最新跨尺度实证亦强调了区分理论可预测极限与实际业务时效的必要性。在传染病预测领域，King 等（2015）指出忽视模型可辨识度会导致不可避免的虚假准确度；Penn 等（2023）建立了偶然与认知不确定性的二分架构，并纳入了负二项子代分布以分析过度离散及前瞻视界拉长下的方差增长；Parag 与 Donnelly（2022）导出了泊松更新下再生数推断的 Fisher 信息量与 Cramér–Rao 下界。本文借鉴生态学预测视界范式，在负二项分支过程下推导预测相对均方误差解析闭式解，为评价流行病预测极限提供客观数理基准。</w:t>
      </w:r>
    </w:p>
    <w:p>
      <w:pPr>
        <w:spacing w:before="200" w:after="80" w:line="288" w:lineRule="auto"/>
        <w:jc w:val="left"/>
      </w:pPr>
      <w:r>
        <w:rPr>
          <w:rFonts w:ascii="SimHei" w:hAnsi="SimHei"/>
          <w:b/>
          <w:i w:val="0"/>
          <w:color w:val="000000"/>
          <w:sz w:val="24"/>
          <w:rFonts w:ascii="SimHei" w:hAnsi="SimHei" w:eastAsia="SimHei"/>
        </w:rPr>
        <w:t>1.2  理论贡献与创新点</w:t>
      </w:r>
    </w:p>
    <w:p>
      <w:pPr>
        <w:spacing w:before="0" w:after="60" w:line="288" w:lineRule="auto"/>
        <w:ind w:firstLine="420"/>
        <w:jc w:val="left"/>
      </w:pPr>
      <w:r>
        <w:rPr>
          <w:rFonts w:ascii="SimSun" w:hAnsi="SimSun"/>
          <w:b w:val="0"/>
          <w:i w:val="0"/>
          <w:color w:val="000000"/>
          <w:sz w:val="21"/>
          <w:rFonts w:ascii="SimSun" w:hAnsi="SimSun" w:eastAsia="SimSun"/>
        </w:rPr>
        <w:t>本文的核心理论创新包括：（1）在负二项分支过程动力学框架下推导相对均方误差的加性正交分解，给出闭式解 h* 与高斯数值精确根 h*_exact，并提炼宏观信噪比标度律；（2）将 Parag 等的 Cramér–Rao 下界拓展至负二项分支似然，导出包含 1/k 的独立样本量门槛；（3）解析刻画有限宿主种群近临界扩散拟平稳态与临界慢化发散标度；（4）明确厘清微观分支过程人口方差与宏观对数更新方差累积律的适用域差异；（5）完成机器学习神经估计器相对于理论下界的信息论辨识极限基准测试；（6）基于美国 CDC 真实周度监测数据完成端到端全流程复现，建立误差记账分解与双层对照分析。</w:t>
      </w:r>
    </w:p>
    <w:p>
      <w:pPr>
        <w:spacing w:before="280" w:after="120" w:line="288" w:lineRule="auto"/>
        <w:jc w:val="left"/>
      </w:pPr>
      <w:r>
        <w:rPr>
          <w:rFonts w:ascii="SimHei" w:hAnsi="SimHei"/>
          <w:b/>
          <w:i w:val="0"/>
          <w:color w:val="000000"/>
          <w:sz w:val="28"/>
          <w:rFonts w:ascii="SimHei" w:hAnsi="SimHei" w:eastAsia="SimHei"/>
        </w:rPr>
        <w:t>2  理论模型与定理证明</w:t>
      </w:r>
    </w:p>
    <w:p>
      <w:pPr>
        <w:spacing w:before="200" w:after="80" w:line="288" w:lineRule="auto"/>
        <w:jc w:val="left"/>
      </w:pPr>
      <w:r>
        <w:rPr>
          <w:rFonts w:ascii="SimHei" w:hAnsi="SimHei"/>
          <w:b/>
          <w:i w:val="0"/>
          <w:color w:val="000000"/>
          <w:sz w:val="24"/>
          <w:rFonts w:ascii="SimHei" w:hAnsi="SimHei" w:eastAsia="SimHei"/>
        </w:rPr>
        <w:t>2.1  分支过程模型设定与基础引理</w:t>
      </w:r>
    </w:p>
    <w:p>
      <w:pPr>
        <w:spacing w:before="0" w:after="60" w:line="288" w:lineRule="auto"/>
        <w:ind w:firstLine="420"/>
        <w:jc w:val="left"/>
      </w:pPr>
      <w:r>
        <w:rPr>
          <w:rFonts w:ascii="SimSun" w:hAnsi="SimSun"/>
          <w:b w:val="0"/>
          <w:i w:val="0"/>
          <w:color w:val="000000"/>
          <w:sz w:val="21"/>
          <w:rFonts w:ascii="SimSun" w:hAnsi="SimSun" w:eastAsia="SimSun"/>
        </w:rPr>
        <w:t>设第 t 代发病规模为 I_t，个体子代分布服从均值为 R、过度离散度为 k 的负二项分布：X_j ~ NB(R, k)。由重期望公式与全方差公式导出引理 1 与引理 2：CV^2(h) = (1 + R/k)(1 - R^(-h)) / [I_0(R - 1)]。在大样本下该项具有水平渐近线：CV_inf^2 = (1 + R/k) / [I_0(R - 1)]。</w:t>
      </w:r>
    </w:p>
    <w:p>
      <w:pPr>
        <w:spacing w:before="200" w:after="80" w:line="288" w:lineRule="auto"/>
        <w:jc w:val="left"/>
      </w:pPr>
      <w:r>
        <w:rPr>
          <w:rFonts w:ascii="SimHei" w:hAnsi="SimHei"/>
          <w:b/>
          <w:i w:val="0"/>
          <w:color w:val="000000"/>
          <w:sz w:val="24"/>
          <w:rFonts w:ascii="SimHei" w:hAnsi="SimHei" w:eastAsia="SimHei"/>
        </w:rPr>
        <w:t>2.2  相对均方误差分解与定理 1（可预测视界领先阶解析闭式解）</w:t>
      </w:r>
    </w:p>
    <w:p>
      <w:pPr>
        <w:spacing w:before="0" w:after="60" w:line="288" w:lineRule="auto"/>
        <w:ind w:firstLine="420"/>
        <w:jc w:val="left"/>
      </w:pPr>
      <w:r>
        <w:rPr>
          <w:rFonts w:ascii="SimSun" w:hAnsi="SimSun"/>
          <w:b w:val="0"/>
          <w:i w:val="0"/>
          <w:color w:val="000000"/>
          <w:sz w:val="21"/>
          <w:rFonts w:ascii="SimSun" w:hAnsi="SimSun" w:eastAsia="SimSun"/>
        </w:rPr>
        <w:t>在无偏推断假定下，前瞻预测相对均方误差严格满足加性正交分解：relMSE^2(h) = CV^2(h) + (1 + CV^2(h)) * [(1 + (delta R / R)^2)^h - 1]。一阶小扰动渐近展开给出领先阶闭式解：h* = ln[1 + (tau^2 - CV_inf^2) / (2 * (delta R / R)^2)] / ln R。在宏观大样本聚合下（I_0 &gt;&gt; 1），人口随机性被大数定律平滑（CV_inf^2 &lt;&lt; tau^2），视界退化为纯粹由参数推断信噪比与代间隔调控的初等标度律：h* ≈ tau * (R / delta R)，换算周度为 h*_周 ≈ tau * (R / delta R) * (mu_g / 7)。而在微观小规模暴发（I_0 &lt;= 200）情境下，纯内在随机性视界上限 h*_stoch 构成刚性物理硬约束。</w:t>
      </w:r>
    </w:p>
    <w:p>
      <w:pPr>
        <w:spacing w:before="200" w:after="80" w:line="288" w:lineRule="auto"/>
        <w:jc w:val="left"/>
      </w:pPr>
      <w:r>
        <w:rPr>
          <w:rFonts w:ascii="SimHei" w:hAnsi="SimHei"/>
          <w:b/>
          <w:i w:val="0"/>
          <w:color w:val="000000"/>
          <w:sz w:val="24"/>
          <w:rFonts w:ascii="SimHei" w:hAnsi="SimHei" w:eastAsia="SimHei"/>
        </w:rPr>
        <w:t>2.3  定理 3（有限宿主种群近临界拟平稳态与临界慢化标度）</w:t>
      </w:r>
    </w:p>
    <w:p>
      <w:pPr>
        <w:spacing w:before="0" w:after="60" w:line="288" w:lineRule="auto"/>
        <w:ind w:firstLine="420"/>
        <w:jc w:val="left"/>
      </w:pPr>
      <w:r>
        <w:rPr>
          <w:rFonts w:ascii="SimSun" w:hAnsi="SimSun"/>
          <w:b w:val="0"/>
          <w:i w:val="0"/>
          <w:color w:val="000000"/>
          <w:sz w:val="21"/>
          <w:rFonts w:ascii="SimSun" w:hAnsi="SimSun" w:eastAsia="SimSun"/>
        </w:rPr>
        <w:t>在有限宿主种群 N 约束下，当有效再生数处于临界慢化相变窗口 |R - 1| &lt;= O(N^(-1/2)) 时，拟平稳态条件分布密度满足截断对数正态标度，松弛时间发散标度为 tau_relax ~ O(N^(1/2))。</w:t>
      </w:r>
    </w:p>
    <w:p>
      <w:pPr>
        <w:spacing w:before="200" w:after="80" w:line="288" w:lineRule="auto"/>
        <w:jc w:val="left"/>
      </w:pPr>
      <w:r>
        <w:rPr>
          <w:rFonts w:ascii="SimHei" w:hAnsi="SimHei"/>
          <w:b/>
          <w:i w:val="0"/>
          <w:color w:val="000000"/>
          <w:sz w:val="24"/>
          <w:rFonts w:ascii="SimHei" w:hAnsi="SimHei" w:eastAsia="SimHei"/>
        </w:rPr>
        <w:t>2.4  定理 4（超临界判别的 Cramér–Rao 信息论样本量下限）</w:t>
      </w:r>
    </w:p>
    <w:p>
      <w:pPr>
        <w:spacing w:before="0" w:after="60" w:line="288" w:lineRule="auto"/>
        <w:ind w:firstLine="420"/>
        <w:jc w:val="left"/>
      </w:pPr>
      <w:r>
        <w:rPr>
          <w:rFonts w:ascii="SimSun" w:hAnsi="SimSun"/>
          <w:b w:val="0"/>
          <w:i w:val="0"/>
          <w:color w:val="000000"/>
          <w:sz w:val="21"/>
          <w:rFonts w:ascii="SimSun" w:hAnsi="SimSun" w:eastAsia="SimSun"/>
        </w:rPr>
        <w:t>基于负二项似然的 Fisher 信息矩阵，无偏估计量方差达到 Cramér–Rao 下界：CRB(R) = R(1 + R/k) / C。判定系统处于超临界状态（R &gt; 1）的最小独立样本量下限为：单位信噪比基准 C_min = 231 例；80% 功效检验门槛为 C_power = 1,428 例。该结论将 Parag 与 Donnelly（2022）在泊松更新假设下的信息量公式推广至过度离散体制。</w:t>
      </w:r>
    </w:p>
    <w:p>
      <w:pPr>
        <w:spacing w:before="200" w:after="80" w:line="288" w:lineRule="auto"/>
        <w:jc w:val="left"/>
      </w:pPr>
      <w:r>
        <w:rPr>
          <w:rFonts w:ascii="SimHei" w:hAnsi="SimHei"/>
          <w:b/>
          <w:i w:val="0"/>
          <w:color w:val="000000"/>
          <w:sz w:val="24"/>
          <w:rFonts w:ascii="SimHei" w:hAnsi="SimHei" w:eastAsia="SimHei"/>
        </w:rPr>
        <w:t>2.5  定理 5 与定理 5R（宏观聚合方差累积律及与引理 2 的适用域厘清）</w:t>
      </w:r>
    </w:p>
    <w:p>
      <w:pPr>
        <w:spacing w:before="0" w:after="60" w:line="288" w:lineRule="auto"/>
        <w:ind w:firstLine="420"/>
        <w:jc w:val="left"/>
      </w:pPr>
      <w:r>
        <w:rPr>
          <w:rFonts w:ascii="SimSun" w:hAnsi="SimSun"/>
          <w:b w:val="0"/>
          <w:i w:val="0"/>
          <w:color w:val="000000"/>
          <w:sz w:val="21"/>
          <w:rFonts w:ascii="SimSun" w:hAnsi="SimSun" w:eastAsia="SimSun"/>
        </w:rPr>
        <w:t>在此必须明确厘清引理 2 与定理 5 在数学结构上的本质适用域差异：引理 2 刻画的是自 I_0 个独立种子出发的标准分支过程，大数定律下产生反比于 I_0 的有界饱和相对方差 CV^2(h) ~ 1/I_0；而定理 5 与推论 3 刻画的是具有马尔可夫创新累积的宏观更新过程，对数方差表现为逐代独立抽样噪声的线性累加 Var(log I_h) ~ h/k。两者分别对应分支族谱独立加和与时间序列随机游走累积两种不同假定。在平稳自回归 AR(1) 传播率下，未来累计方差呈现自回归记忆平稳过渡，而在单位根极限下呈现立方级发散。</w:t>
      </w:r>
    </w:p>
    <w:p>
      <w:pPr>
        <w:spacing w:before="280" w:after="120" w:line="288" w:lineRule="auto"/>
        <w:jc w:val="left"/>
      </w:pPr>
      <w:r>
        <w:rPr>
          <w:rFonts w:ascii="SimHei" w:hAnsi="SimHei"/>
          <w:b/>
          <w:i w:val="0"/>
          <w:color w:val="000000"/>
          <w:sz w:val="28"/>
          <w:rFonts w:ascii="SimHei" w:hAnsi="SimHei" w:eastAsia="SimHei"/>
        </w:rPr>
        <w:t>3  数值验证与机器学习估计器基准测试</w:t>
      </w:r>
    </w:p>
    <w:p>
      <w:pPr>
        <w:spacing w:before="200" w:after="80" w:line="288" w:lineRule="auto"/>
        <w:jc w:val="left"/>
      </w:pPr>
      <w:r>
        <w:rPr>
          <w:rFonts w:ascii="SimHei" w:hAnsi="SimHei"/>
          <w:b/>
          <w:i w:val="0"/>
          <w:color w:val="000000"/>
          <w:sz w:val="24"/>
          <w:rFonts w:ascii="SimHei" w:hAnsi="SimHei" w:eastAsia="SimHei"/>
        </w:rPr>
        <w:t>3.1  高通量蒙特卡洛模拟验证</w:t>
      </w:r>
    </w:p>
    <w:p>
      <w:pPr>
        <w:spacing w:before="0" w:after="60" w:line="288" w:lineRule="auto"/>
        <w:ind w:firstLine="420"/>
        <w:jc w:val="left"/>
      </w:pPr>
      <w:r>
        <w:rPr>
          <w:rFonts w:ascii="SimSun" w:hAnsi="SimSun"/>
          <w:b w:val="0"/>
          <w:i w:val="0"/>
          <w:color w:val="000000"/>
          <w:sz w:val="21"/>
          <w:rFonts w:ascii="SimSun" w:hAnsi="SimSun" w:eastAsia="SimSun"/>
        </w:rPr>
        <w:t>基于 20,000 条合成负二项分支过程轨迹的高通量蒙特卡洛验证表明，实测 CV^2(h) 与理论解析公式完全吻合（最大相对偏差 &lt; 0.85%）。样本均值 MLE 经验方差与 Cramér–Rao 下界比值的均值为 1.000，95% 蒙特卡洛误差棒稳健覆盖 1.000。</w:t>
      </w:r>
    </w:p>
    <w:p>
      <w:pPr>
        <w:spacing w:before="200" w:after="80" w:line="288" w:lineRule="auto"/>
        <w:jc w:val="left"/>
      </w:pPr>
      <w:r>
        <w:rPr>
          <w:rFonts w:ascii="SimHei" w:hAnsi="SimHei"/>
          <w:b/>
          <w:i w:val="0"/>
          <w:color w:val="000000"/>
          <w:sz w:val="24"/>
          <w:rFonts w:ascii="SimHei" w:hAnsi="SimHei" w:eastAsia="SimHei"/>
        </w:rPr>
        <w:t>3.2  定理 5R 有限预热验证</w:t>
      </w:r>
    </w:p>
    <w:p>
      <w:pPr>
        <w:spacing w:before="0" w:after="60" w:line="288" w:lineRule="auto"/>
        <w:ind w:firstLine="420"/>
        <w:jc w:val="left"/>
      </w:pPr>
      <w:r>
        <w:rPr>
          <w:rFonts w:ascii="SimSun" w:hAnsi="SimSun"/>
          <w:b w:val="0"/>
          <w:i w:val="0"/>
          <w:color w:val="000000"/>
          <w:sz w:val="21"/>
          <w:rFonts w:ascii="SimSun" w:hAnsi="SimSun" w:eastAsia="SimSun"/>
        </w:rPr>
        <w:t>模拟轨迹起始于固定确定性初值，首步条件方差与平稳方差理论解析比值为 1 - phi^2 = 0.36，在有限预热步数下测得比值为 0.58，解析验证了自回归记忆向平稳态过渡的动态过程；随步长递增至 h=4 与 h=8，经验/理论比值收敛至 0.92–1.08。</w:t>
      </w:r>
    </w:p>
    <w:p>
      <w:pPr>
        <w:spacing w:before="200" w:after="80" w:line="288" w:lineRule="auto"/>
        <w:jc w:val="left"/>
      </w:pPr>
      <w:r>
        <w:rPr>
          <w:rFonts w:ascii="SimHei" w:hAnsi="SimHei"/>
          <w:b/>
          <w:i w:val="0"/>
          <w:color w:val="000000"/>
          <w:sz w:val="24"/>
          <w:rFonts w:ascii="SimHei" w:hAnsi="SimHei" w:eastAsia="SimHei"/>
        </w:rPr>
        <w:t>3.3  机器学习神经估计器基准测试</w:t>
      </w:r>
    </w:p>
    <w:p>
      <w:pPr>
        <w:spacing w:before="0" w:after="60" w:line="288" w:lineRule="auto"/>
        <w:ind w:firstLine="420"/>
        <w:jc w:val="left"/>
      </w:pPr>
      <w:r>
        <w:rPr>
          <w:rFonts w:ascii="SimSun" w:hAnsi="SimSun"/>
          <w:b w:val="0"/>
          <w:i w:val="0"/>
          <w:color w:val="000000"/>
          <w:sz w:val="21"/>
          <w:rFonts w:ascii="SimSun" w:hAnsi="SimSun" w:eastAsia="SimSun"/>
        </w:rPr>
        <w:t>基准评估测试了浅层前馈神经网络（2 个隐藏层，每层 64 神经元，Tanh 激活函数，Adam lr=3e-3，40 轮，三路划分，固定种子 20260807）与 LightGBM（300 棵树，叶节点 15，最小叶样本 50，种子 20260807）。结果显示：浅层网络由于离散分支噪声存在有限样本统计效率损耗，经验方差为 CRB 的 6.69 倍；LightGBM 紧密拟合了条件均值，其 log-RMSE 紧随条件标准差下界。这表明机器学习模型在数据生成机制确定下无法穿透底层信息论边界。</w:t>
      </w:r>
    </w:p>
    <w:p>
      <w:pPr>
        <w:spacing w:before="280" w:after="120" w:line="288" w:lineRule="auto"/>
        <w:jc w:val="left"/>
      </w:pPr>
      <w:r>
        <w:rPr>
          <w:rFonts w:ascii="SimHei" w:hAnsi="SimHei"/>
          <w:b/>
          <w:i w:val="0"/>
          <w:color w:val="000000"/>
          <w:sz w:val="28"/>
          <w:rFonts w:ascii="SimHei" w:hAnsi="SimHei" w:eastAsia="SimHei"/>
        </w:rPr>
        <w:t>4  实证结果与误差分析</w:t>
      </w:r>
    </w:p>
    <w:p>
      <w:pPr>
        <w:spacing w:before="200" w:after="80" w:line="288" w:lineRule="auto"/>
        <w:jc w:val="left"/>
      </w:pPr>
      <w:r>
        <w:rPr>
          <w:rFonts w:ascii="SimHei" w:hAnsi="SimHei"/>
          <w:b/>
          <w:i w:val="0"/>
          <w:color w:val="000000"/>
          <w:sz w:val="24"/>
          <w:rFonts w:ascii="SimHei" w:hAnsi="SimHei" w:eastAsia="SimHei"/>
        </w:rPr>
        <w:t>4.1  美国三大呼吸道传染病典型阶段的预测视界与参数</w:t>
      </w:r>
    </w:p>
    <w:p>
      <w:pPr>
        <w:spacing w:before="0" w:after="60" w:line="288" w:lineRule="auto"/>
        <w:ind w:firstLine="420"/>
        <w:jc w:val="left"/>
      </w:pPr>
      <w:r>
        <w:rPr>
          <w:rFonts w:ascii="SimSun" w:hAnsi="SimSun"/>
          <w:b w:val="0"/>
          <w:i w:val="0"/>
          <w:color w:val="000000"/>
          <w:sz w:val="21"/>
          <w:rFonts w:ascii="SimSun" w:hAnsi="SimSun" w:eastAsia="SimSun"/>
        </w:rPr>
        <w:t>利用开源 CDC 真实周度监测数据对 COVID-19、流感及 RSV 七大流行阶段进行实证标定（表 2）。结果表明：宏观国家级聚合序列中，人口随机性方差贡献极小（0.04%–1.01%），视界几乎完全由信噪比与代间隔调控。非 RSV 阶段视界为 2.9–13.5 周；RSV 虽因平滑序列测得极小 delta R 而外推得到 43.9 与 70.1 周，但该结果显著突破单流行季 16–20 周自然消退物理截断，且所需信息样本量超出总病例数，揭示了无耗竭假设的边界。</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046"/>
        <w:gridCol w:w="1046"/>
        <w:gridCol w:w="1046"/>
        <w:gridCol w:w="1046"/>
        <w:gridCol w:w="1046"/>
        <w:gridCol w:w="1046"/>
        <w:gridCol w:w="1046"/>
        <w:gridCol w:w="1046"/>
        <w:gridCol w:w="1046"/>
      </w:tblGrid>
      <w:tr>
        <w:tc>
          <w:tcPr>
            <w:tcW w:type="dxa" w:w="1046"/>
            <w:tcBorders>
              <w:bottom w:val="single" w:sz="6" w:space="0" w:color="000000"/>
            </w:tcBorders>
          </w:tcPr>
          <w:p>
            <w:r>
              <w:rPr>
                <w:rFonts w:ascii="SimHei" w:hAnsi="SimHei"/>
                <w:b/>
                <w:i w:val="0"/>
                <w:color w:val="000000"/>
                <w:sz w:val="18"/>
                <w:rFonts w:ascii="SimHei" w:hAnsi="SimHei" w:eastAsia="SimHei"/>
              </w:rPr>
              <w:t>病原体 / 流行阶段</w:t>
            </w:r>
          </w:p>
        </w:tc>
        <w:tc>
          <w:tcPr>
            <w:tcW w:type="dxa" w:w="1046"/>
            <w:tcBorders>
              <w:bottom w:val="single" w:sz="6" w:space="0" w:color="000000"/>
            </w:tcBorders>
          </w:tcPr>
          <w:p>
            <w:r>
              <w:rPr>
                <w:rFonts w:ascii="SimHei" w:hAnsi="SimHei"/>
                <w:b/>
                <w:i w:val="0"/>
                <w:color w:val="000000"/>
                <w:sz w:val="18"/>
                <w:rFonts w:ascii="SimHei" w:hAnsi="SimHei" w:eastAsia="SimHei"/>
              </w:rPr>
              <w:t>R</w:t>
            </w:r>
          </w:p>
        </w:tc>
        <w:tc>
          <w:tcPr>
            <w:tcW w:type="dxa" w:w="1046"/>
            <w:tcBorders>
              <w:bottom w:val="single" w:sz="6" w:space="0" w:color="000000"/>
            </w:tcBorders>
          </w:tcPr>
          <w:p>
            <w:r>
              <w:rPr>
                <w:rFonts w:ascii="SimHei" w:hAnsi="SimHei"/>
                <w:b/>
                <w:i w:val="0"/>
                <w:color w:val="000000"/>
                <w:sz w:val="18"/>
                <w:rFonts w:ascii="SimHei" w:hAnsi="SimHei" w:eastAsia="SimHei"/>
              </w:rPr>
              <w:t>delta R</w:t>
            </w:r>
          </w:p>
        </w:tc>
        <w:tc>
          <w:tcPr>
            <w:tcW w:type="dxa" w:w="1046"/>
            <w:tcBorders>
              <w:bottom w:val="single" w:sz="6" w:space="0" w:color="000000"/>
            </w:tcBorders>
          </w:tcPr>
          <w:p>
            <w:r>
              <w:rPr>
                <w:rFonts w:ascii="SimHei" w:hAnsi="SimHei"/>
                <w:b/>
                <w:i w:val="0"/>
                <w:color w:val="000000"/>
                <w:sz w:val="18"/>
                <w:rFonts w:ascii="SimHei" w:hAnsi="SimHei" w:eastAsia="SimHei"/>
              </w:rPr>
              <w:t>k_agg</w:t>
            </w:r>
          </w:p>
        </w:tc>
        <w:tc>
          <w:tcPr>
            <w:tcW w:type="dxa" w:w="1046"/>
            <w:tcBorders>
              <w:bottom w:val="single" w:sz="6" w:space="0" w:color="000000"/>
            </w:tcBorders>
          </w:tcPr>
          <w:p>
            <w:r>
              <w:rPr>
                <w:rFonts w:ascii="SimHei" w:hAnsi="SimHei"/>
                <w:b/>
                <w:i w:val="0"/>
                <w:color w:val="000000"/>
                <w:sz w:val="18"/>
                <w:rFonts w:ascii="SimHei" w:hAnsi="SimHei" w:eastAsia="SimHei"/>
              </w:rPr>
              <w:t>I0</w:t>
            </w:r>
          </w:p>
        </w:tc>
        <w:tc>
          <w:tcPr>
            <w:tcW w:type="dxa" w:w="1046"/>
            <w:tcBorders>
              <w:bottom w:val="single" w:sz="6" w:space="0" w:color="000000"/>
            </w:tcBorders>
          </w:tcPr>
          <w:p>
            <w:r>
              <w:rPr>
                <w:rFonts w:ascii="SimHei" w:hAnsi="SimHei"/>
                <w:b/>
                <w:i w:val="0"/>
                <w:color w:val="000000"/>
                <w:sz w:val="18"/>
                <w:rFonts w:ascii="SimHei" w:hAnsi="SimHei" w:eastAsia="SimHei"/>
              </w:rPr>
              <w:t>mu_g(天)</w:t>
            </w:r>
          </w:p>
        </w:tc>
        <w:tc>
          <w:tcPr>
            <w:tcW w:type="dxa" w:w="1046"/>
            <w:tcBorders>
              <w:bottom w:val="single" w:sz="6" w:space="0" w:color="000000"/>
            </w:tcBorders>
          </w:tcPr>
          <w:p>
            <w:r>
              <w:rPr>
                <w:rFonts w:ascii="SimHei" w:hAnsi="SimHei"/>
                <w:b/>
                <w:i w:val="0"/>
                <w:color w:val="000000"/>
                <w:sz w:val="18"/>
                <w:rFonts w:ascii="SimHei" w:hAnsi="SimHei" w:eastAsia="SimHei"/>
              </w:rPr>
              <w:t>h*_exact(代/周)</w:t>
            </w:r>
          </w:p>
        </w:tc>
        <w:tc>
          <w:tcPr>
            <w:tcW w:type="dxa" w:w="1046"/>
            <w:tcBorders>
              <w:bottom w:val="single" w:sz="6" w:space="0" w:color="000000"/>
            </w:tcBorders>
          </w:tcPr>
          <w:p>
            <w:r>
              <w:rPr>
                <w:rFonts w:ascii="SimHei" w:hAnsi="SimHei"/>
                <w:b/>
                <w:i w:val="0"/>
                <w:color w:val="000000"/>
                <w:sz w:val="18"/>
                <w:rFonts w:ascii="SimHei" w:hAnsi="SimHei" w:eastAsia="SimHei"/>
              </w:rPr>
              <w:t>CV^2贡献率</w:t>
            </w:r>
          </w:p>
        </w:tc>
        <w:tc>
          <w:tcPr>
            <w:tcW w:type="dxa" w:w="1046"/>
            <w:tcBorders>
              <w:bottom w:val="single" w:sz="6" w:space="0" w:color="000000"/>
            </w:tcBorders>
          </w:tcPr>
          <w:p>
            <w:r>
              <w:rPr>
                <w:rFonts w:ascii="SimHei" w:hAnsi="SimHei"/>
                <w:b/>
                <w:i w:val="0"/>
                <w:color w:val="000000"/>
                <w:sz w:val="18"/>
                <w:rFonts w:ascii="SimHei" w:hAnsi="SimHei" w:eastAsia="SimHei"/>
              </w:rPr>
              <w:t>物理截断</w:t>
            </w:r>
          </w:p>
        </w:tc>
      </w:tr>
      <w:tr>
        <w:tc>
          <w:tcPr>
            <w:tcW w:type="dxa" w:w="1046"/>
          </w:tcPr>
          <w:p>
            <w:r>
              <w:rPr>
                <w:rFonts w:ascii="SimSun" w:hAnsi="SimSun"/>
                <w:b w:val="0"/>
                <w:i w:val="0"/>
                <w:color w:val="000000"/>
                <w:sz w:val="17"/>
                <w:rFonts w:ascii="SimSun" w:hAnsi="SimSun" w:eastAsia="SimSun"/>
              </w:rPr>
              <w:t>COVID-19 Delta 暴发期</w:t>
            </w:r>
          </w:p>
        </w:tc>
        <w:tc>
          <w:tcPr>
            <w:tcW w:type="dxa" w:w="1046"/>
          </w:tcPr>
          <w:p>
            <w:r>
              <w:rPr>
                <w:rFonts w:ascii="SimSun" w:hAnsi="SimSun"/>
                <w:b w:val="0"/>
                <w:i w:val="0"/>
                <w:color w:val="000000"/>
                <w:sz w:val="17"/>
                <w:rFonts w:ascii="SimSun" w:hAnsi="SimSun" w:eastAsia="SimSun"/>
              </w:rPr>
              <w:t>1.3149</w:t>
            </w:r>
          </w:p>
        </w:tc>
        <w:tc>
          <w:tcPr>
            <w:tcW w:type="dxa" w:w="1046"/>
          </w:tcPr>
          <w:p>
            <w:r>
              <w:rPr>
                <w:rFonts w:ascii="SimSun" w:hAnsi="SimSun"/>
                <w:b w:val="0"/>
                <w:i w:val="0"/>
                <w:color w:val="000000"/>
                <w:sz w:val="17"/>
                <w:rFonts w:ascii="SimSun" w:hAnsi="SimSun" w:eastAsia="SimSun"/>
              </w:rPr>
              <w:t>0.0285</w:t>
            </w:r>
          </w:p>
        </w:tc>
        <w:tc>
          <w:tcPr>
            <w:tcW w:type="dxa" w:w="1046"/>
          </w:tcPr>
          <w:p>
            <w:r>
              <w:rPr>
                <w:rFonts w:ascii="SimSun" w:hAnsi="SimSun"/>
                <w:b w:val="0"/>
                <w:i w:val="0"/>
                <w:color w:val="000000"/>
                <w:sz w:val="17"/>
                <w:rFonts w:ascii="SimSun" w:hAnsi="SimSun" w:eastAsia="SimSun"/>
              </w:rPr>
              <w:t>223.2</w:t>
            </w:r>
          </w:p>
        </w:tc>
        <w:tc>
          <w:tcPr>
            <w:tcW w:type="dxa" w:w="1046"/>
          </w:tcPr>
          <w:p>
            <w:r>
              <w:rPr>
                <w:rFonts w:ascii="SimSun" w:hAnsi="SimSun"/>
                <w:b w:val="0"/>
                <w:i w:val="0"/>
                <w:color w:val="000000"/>
                <w:sz w:val="17"/>
                <w:rFonts w:ascii="SimSun" w:hAnsi="SimSun" w:eastAsia="SimSun"/>
              </w:rPr>
              <w:t>28,347</w:t>
            </w:r>
          </w:p>
        </w:tc>
        <w:tc>
          <w:tcPr>
            <w:tcW w:type="dxa" w:w="1046"/>
          </w:tcPr>
          <w:p>
            <w:r>
              <w:rPr>
                <w:rFonts w:ascii="SimSun" w:hAnsi="SimSun"/>
                <w:b w:val="0"/>
                <w:i w:val="0"/>
                <w:color w:val="000000"/>
                <w:sz w:val="17"/>
                <w:rFonts w:ascii="SimSun" w:hAnsi="SimSun" w:eastAsia="SimSun"/>
              </w:rPr>
              <w:t>4.7</w:t>
            </w:r>
          </w:p>
        </w:tc>
        <w:tc>
          <w:tcPr>
            <w:tcW w:type="dxa" w:w="1046"/>
          </w:tcPr>
          <w:p>
            <w:r>
              <w:rPr>
                <w:rFonts w:ascii="SimSun" w:hAnsi="SimSun"/>
                <w:b w:val="0"/>
                <w:i w:val="0"/>
                <w:color w:val="000000"/>
                <w:sz w:val="17"/>
                <w:rFonts w:ascii="SimSun" w:hAnsi="SimSun" w:eastAsia="SimSun"/>
              </w:rPr>
              <w:t>20.1 / 13.5周</w:t>
            </w:r>
          </w:p>
        </w:tc>
        <w:tc>
          <w:tcPr>
            <w:tcW w:type="dxa" w:w="1046"/>
          </w:tcPr>
          <w:p>
            <w:r>
              <w:rPr>
                <w:rFonts w:ascii="SimSun" w:hAnsi="SimSun"/>
                <w:b w:val="0"/>
                <w:i w:val="0"/>
                <w:color w:val="000000"/>
                <w:sz w:val="17"/>
                <w:rFonts w:ascii="SimSun" w:hAnsi="SimSun" w:eastAsia="SimSun"/>
              </w:rPr>
              <w:t>0.05%</w:t>
            </w:r>
          </w:p>
        </w:tc>
        <w:tc>
          <w:tcPr>
            <w:tcW w:type="dxa" w:w="1046"/>
          </w:tcPr>
          <w:p>
            <w:r>
              <w:rPr>
                <w:rFonts w:ascii="SimSun" w:hAnsi="SimSun"/>
                <w:b w:val="0"/>
                <w:i w:val="0"/>
                <w:color w:val="000000"/>
                <w:sz w:val="17"/>
                <w:rFonts w:ascii="SimSun" w:hAnsi="SimSun" w:eastAsia="SimSun"/>
              </w:rPr>
              <w:t>--</w:t>
            </w:r>
          </w:p>
        </w:tc>
      </w:tr>
      <w:tr>
        <w:tc>
          <w:tcPr>
            <w:tcW w:type="dxa" w:w="1046"/>
          </w:tcPr>
          <w:p>
            <w:r>
              <w:rPr>
                <w:rFonts w:ascii="SimSun" w:hAnsi="SimSun"/>
                <w:b w:val="0"/>
                <w:i w:val="0"/>
                <w:color w:val="000000"/>
                <w:sz w:val="17"/>
                <w:rFonts w:ascii="SimSun" w:hAnsi="SimSun" w:eastAsia="SimSun"/>
              </w:rPr>
              <w:t>COVID-19 Omicron 达峰期</w:t>
            </w:r>
          </w:p>
        </w:tc>
        <w:tc>
          <w:tcPr>
            <w:tcW w:type="dxa" w:w="1046"/>
          </w:tcPr>
          <w:p>
            <w:r>
              <w:rPr>
                <w:rFonts w:ascii="SimSun" w:hAnsi="SimSun"/>
                <w:b w:val="0"/>
                <w:i w:val="0"/>
                <w:color w:val="000000"/>
                <w:sz w:val="17"/>
                <w:rFonts w:ascii="SimSun" w:hAnsi="SimSun" w:eastAsia="SimSun"/>
              </w:rPr>
              <w:t>1.1632</w:t>
            </w:r>
          </w:p>
        </w:tc>
        <w:tc>
          <w:tcPr>
            <w:tcW w:type="dxa" w:w="1046"/>
          </w:tcPr>
          <w:p>
            <w:r>
              <w:rPr>
                <w:rFonts w:ascii="SimSun" w:hAnsi="SimSun"/>
                <w:b w:val="0"/>
                <w:i w:val="0"/>
                <w:color w:val="000000"/>
                <w:sz w:val="17"/>
                <w:rFonts w:ascii="SimSun" w:hAnsi="SimSun" w:eastAsia="SimSun"/>
              </w:rPr>
              <w:t>0.0762</w:t>
            </w:r>
          </w:p>
        </w:tc>
        <w:tc>
          <w:tcPr>
            <w:tcW w:type="dxa" w:w="1046"/>
          </w:tcPr>
          <w:p>
            <w:r>
              <w:rPr>
                <w:rFonts w:ascii="SimSun" w:hAnsi="SimSun"/>
                <w:b w:val="0"/>
                <w:i w:val="0"/>
                <w:color w:val="000000"/>
                <w:sz w:val="17"/>
                <w:rFonts w:ascii="SimSun" w:hAnsi="SimSun" w:eastAsia="SimSun"/>
              </w:rPr>
              <w:t>27.4</w:t>
            </w:r>
          </w:p>
        </w:tc>
        <w:tc>
          <w:tcPr>
            <w:tcW w:type="dxa" w:w="1046"/>
          </w:tcPr>
          <w:p>
            <w:r>
              <w:rPr>
                <w:rFonts w:ascii="SimSun" w:hAnsi="SimSun"/>
                <w:b w:val="0"/>
                <w:i w:val="0"/>
                <w:color w:val="000000"/>
                <w:sz w:val="17"/>
                <w:rFonts w:ascii="SimSun" w:hAnsi="SimSun" w:eastAsia="SimSun"/>
              </w:rPr>
              <w:t>66,275</w:t>
            </w:r>
          </w:p>
        </w:tc>
        <w:tc>
          <w:tcPr>
            <w:tcW w:type="dxa" w:w="1046"/>
          </w:tcPr>
          <w:p>
            <w:r>
              <w:rPr>
                <w:rFonts w:ascii="SimSun" w:hAnsi="SimSun"/>
                <w:b w:val="0"/>
                <w:i w:val="0"/>
                <w:color w:val="000000"/>
                <w:sz w:val="17"/>
                <w:rFonts w:ascii="SimSun" w:hAnsi="SimSun" w:eastAsia="SimSun"/>
              </w:rPr>
              <w:t>3.0</w:t>
            </w:r>
          </w:p>
        </w:tc>
        <w:tc>
          <w:tcPr>
            <w:tcW w:type="dxa" w:w="1046"/>
          </w:tcPr>
          <w:p>
            <w:r>
              <w:rPr>
                <w:rFonts w:ascii="SimSun" w:hAnsi="SimSun"/>
                <w:b w:val="0"/>
                <w:i w:val="0"/>
                <w:color w:val="000000"/>
                <w:sz w:val="17"/>
                <w:rFonts w:ascii="SimSun" w:hAnsi="SimSun" w:eastAsia="SimSun"/>
              </w:rPr>
              <w:t>6.8 / 2.9周</w:t>
            </w:r>
          </w:p>
        </w:tc>
        <w:tc>
          <w:tcPr>
            <w:tcW w:type="dxa" w:w="1046"/>
          </w:tcPr>
          <w:p>
            <w:r>
              <w:rPr>
                <w:rFonts w:ascii="SimSun" w:hAnsi="SimSun"/>
                <w:b w:val="0"/>
                <w:i w:val="0"/>
                <w:color w:val="000000"/>
                <w:sz w:val="17"/>
                <w:rFonts w:ascii="SimSun" w:hAnsi="SimSun" w:eastAsia="SimSun"/>
              </w:rPr>
              <w:t>0.04%</w:t>
            </w:r>
          </w:p>
        </w:tc>
        <w:tc>
          <w:tcPr>
            <w:tcW w:type="dxa" w:w="1046"/>
          </w:tcPr>
          <w:p>
            <w:r>
              <w:rPr>
                <w:rFonts w:ascii="SimSun" w:hAnsi="SimSun"/>
                <w:b w:val="0"/>
                <w:i w:val="0"/>
                <w:color w:val="000000"/>
                <w:sz w:val="17"/>
                <w:rFonts w:ascii="SimSun" w:hAnsi="SimSun" w:eastAsia="SimSun"/>
              </w:rPr>
              <w:t>--</w:t>
            </w:r>
          </w:p>
        </w:tc>
      </w:tr>
      <w:tr>
        <w:tc>
          <w:tcPr>
            <w:tcW w:type="dxa" w:w="1046"/>
          </w:tcPr>
          <w:p>
            <w:r>
              <w:rPr>
                <w:rFonts w:ascii="SimSun" w:hAnsi="SimSun"/>
                <w:b w:val="0"/>
                <w:i w:val="0"/>
                <w:color w:val="000000"/>
                <w:sz w:val="17"/>
                <w:rFonts w:ascii="SimSun" w:hAnsi="SimSun" w:eastAsia="SimSun"/>
              </w:rPr>
              <w:t>COVID-19 JN.1 流行期</w:t>
            </w:r>
          </w:p>
        </w:tc>
        <w:tc>
          <w:tcPr>
            <w:tcW w:type="dxa" w:w="1046"/>
          </w:tcPr>
          <w:p>
            <w:r>
              <w:rPr>
                <w:rFonts w:ascii="SimSun" w:hAnsi="SimSun"/>
                <w:b w:val="0"/>
                <w:i w:val="0"/>
                <w:color w:val="000000"/>
                <w:sz w:val="17"/>
                <w:rFonts w:ascii="SimSun" w:hAnsi="SimSun" w:eastAsia="SimSun"/>
              </w:rPr>
              <w:t>1.0520</w:t>
            </w:r>
          </w:p>
        </w:tc>
        <w:tc>
          <w:tcPr>
            <w:tcW w:type="dxa" w:w="1046"/>
          </w:tcPr>
          <w:p>
            <w:r>
              <w:rPr>
                <w:rFonts w:ascii="SimSun" w:hAnsi="SimSun"/>
                <w:b w:val="0"/>
                <w:i w:val="0"/>
                <w:color w:val="000000"/>
                <w:sz w:val="17"/>
                <w:rFonts w:ascii="SimSun" w:hAnsi="SimSun" w:eastAsia="SimSun"/>
              </w:rPr>
              <w:t>0.0557</w:t>
            </w:r>
          </w:p>
        </w:tc>
        <w:tc>
          <w:tcPr>
            <w:tcW w:type="dxa" w:w="1046"/>
          </w:tcPr>
          <w:p>
            <w:r>
              <w:rPr>
                <w:rFonts w:ascii="SimSun" w:hAnsi="SimSun"/>
                <w:b w:val="0"/>
                <w:i w:val="0"/>
                <w:color w:val="000000"/>
                <w:sz w:val="17"/>
                <w:rFonts w:ascii="SimSun" w:hAnsi="SimSun" w:eastAsia="SimSun"/>
              </w:rPr>
              <w:t>60.5</w:t>
            </w:r>
          </w:p>
        </w:tc>
        <w:tc>
          <w:tcPr>
            <w:tcW w:type="dxa" w:w="1046"/>
          </w:tcPr>
          <w:p>
            <w:r>
              <w:rPr>
                <w:rFonts w:ascii="SimSun" w:hAnsi="SimSun"/>
                <w:b w:val="0"/>
                <w:i w:val="0"/>
                <w:color w:val="000000"/>
                <w:sz w:val="17"/>
                <w:rFonts w:ascii="SimSun" w:hAnsi="SimSun" w:eastAsia="SimSun"/>
              </w:rPr>
              <w:t>31,453</w:t>
            </w:r>
          </w:p>
        </w:tc>
        <w:tc>
          <w:tcPr>
            <w:tcW w:type="dxa" w:w="1046"/>
          </w:tcPr>
          <w:p>
            <w:r>
              <w:rPr>
                <w:rFonts w:ascii="SimSun" w:hAnsi="SimSun"/>
                <w:b w:val="0"/>
                <w:i w:val="0"/>
                <w:color w:val="000000"/>
                <w:sz w:val="17"/>
                <w:rFonts w:ascii="SimSun" w:hAnsi="SimSun" w:eastAsia="SimSun"/>
              </w:rPr>
              <w:t>3.5</w:t>
            </w:r>
          </w:p>
        </w:tc>
        <w:tc>
          <w:tcPr>
            <w:tcW w:type="dxa" w:w="1046"/>
          </w:tcPr>
          <w:p>
            <w:r>
              <w:rPr>
                <w:rFonts w:ascii="SimSun" w:hAnsi="SimSun"/>
                <w:b w:val="0"/>
                <w:i w:val="0"/>
                <w:color w:val="000000"/>
                <w:sz w:val="17"/>
                <w:rFonts w:ascii="SimSun" w:hAnsi="SimSun" w:eastAsia="SimSun"/>
              </w:rPr>
              <w:t>8.4 / 4.2周</w:t>
            </w:r>
          </w:p>
        </w:tc>
        <w:tc>
          <w:tcPr>
            <w:tcW w:type="dxa" w:w="1046"/>
          </w:tcPr>
          <w:p>
            <w:r>
              <w:rPr>
                <w:rFonts w:ascii="SimSun" w:hAnsi="SimSun"/>
                <w:b w:val="0"/>
                <w:i w:val="0"/>
                <w:color w:val="000000"/>
                <w:sz w:val="17"/>
                <w:rFonts w:ascii="SimSun" w:hAnsi="SimSun" w:eastAsia="SimSun"/>
              </w:rPr>
              <w:t>0.25%</w:t>
            </w:r>
          </w:p>
        </w:tc>
        <w:tc>
          <w:tcPr>
            <w:tcW w:type="dxa" w:w="1046"/>
          </w:tcPr>
          <w:p>
            <w:r>
              <w:rPr>
                <w:rFonts w:ascii="SimSun" w:hAnsi="SimSun"/>
                <w:b w:val="0"/>
                <w:i w:val="0"/>
                <w:color w:val="000000"/>
                <w:sz w:val="17"/>
                <w:rFonts w:ascii="SimSun" w:hAnsi="SimSun" w:eastAsia="SimSun"/>
              </w:rPr>
              <w:t>--</w:t>
            </w:r>
          </w:p>
        </w:tc>
      </w:tr>
      <w:tr>
        <w:tc>
          <w:tcPr>
            <w:tcW w:type="dxa" w:w="1046"/>
          </w:tcPr>
          <w:p>
            <w:r>
              <w:rPr>
                <w:rFonts w:ascii="SimSun" w:hAnsi="SimSun"/>
                <w:b w:val="0"/>
                <w:i w:val="0"/>
                <w:color w:val="000000"/>
                <w:sz w:val="17"/>
                <w:rFonts w:ascii="SimSun" w:hAnsi="SimSun" w:eastAsia="SimSun"/>
              </w:rPr>
              <w:t>RSV 2024–25 流行季</w:t>
            </w:r>
          </w:p>
        </w:tc>
        <w:tc>
          <w:tcPr>
            <w:tcW w:type="dxa" w:w="1046"/>
          </w:tcPr>
          <w:p>
            <w:r>
              <w:rPr>
                <w:rFonts w:ascii="SimSun" w:hAnsi="SimSun"/>
                <w:b w:val="0"/>
                <w:i w:val="0"/>
                <w:color w:val="000000"/>
                <w:sz w:val="17"/>
                <w:rFonts w:ascii="SimSun" w:hAnsi="SimSun" w:eastAsia="SimSun"/>
              </w:rPr>
              <w:t>1.2404</w:t>
            </w:r>
          </w:p>
        </w:tc>
        <w:tc>
          <w:tcPr>
            <w:tcW w:type="dxa" w:w="1046"/>
          </w:tcPr>
          <w:p>
            <w:r>
              <w:rPr>
                <w:rFonts w:ascii="SimSun" w:hAnsi="SimSun"/>
                <w:b w:val="0"/>
                <w:i w:val="0"/>
                <w:color w:val="000000"/>
                <w:sz w:val="17"/>
                <w:rFonts w:ascii="SimSun" w:hAnsi="SimSun" w:eastAsia="SimSun"/>
              </w:rPr>
              <w:t>0.0146</w:t>
            </w:r>
          </w:p>
        </w:tc>
        <w:tc>
          <w:tcPr>
            <w:tcW w:type="dxa" w:w="1046"/>
          </w:tcPr>
          <w:p>
            <w:r>
              <w:rPr>
                <w:rFonts w:ascii="SimSun" w:hAnsi="SimSun"/>
                <w:b w:val="0"/>
                <w:i w:val="0"/>
                <w:color w:val="000000"/>
                <w:sz w:val="17"/>
                <w:rFonts w:ascii="SimSun" w:hAnsi="SimSun" w:eastAsia="SimSun"/>
              </w:rPr>
              <w:t>1000.0</w:t>
            </w:r>
          </w:p>
        </w:tc>
        <w:tc>
          <w:tcPr>
            <w:tcW w:type="dxa" w:w="1046"/>
          </w:tcPr>
          <w:p>
            <w:r>
              <w:rPr>
                <w:rFonts w:ascii="SimSun" w:hAnsi="SimSun"/>
                <w:b w:val="0"/>
                <w:i w:val="0"/>
                <w:color w:val="000000"/>
                <w:sz w:val="17"/>
                <w:rFonts w:ascii="SimSun" w:hAnsi="SimSun" w:eastAsia="SimSun"/>
              </w:rPr>
              <w:t>4,409</w:t>
            </w:r>
          </w:p>
        </w:tc>
        <w:tc>
          <w:tcPr>
            <w:tcW w:type="dxa" w:w="1046"/>
          </w:tcPr>
          <w:p>
            <w:r>
              <w:rPr>
                <w:rFonts w:ascii="SimSun" w:hAnsi="SimSun"/>
                <w:b w:val="0"/>
                <w:i w:val="0"/>
                <w:color w:val="000000"/>
                <w:sz w:val="17"/>
                <w:rFonts w:ascii="SimSun" w:hAnsi="SimSun" w:eastAsia="SimSun"/>
              </w:rPr>
              <w:t>8.4</w:t>
            </w:r>
          </w:p>
        </w:tc>
        <w:tc>
          <w:tcPr>
            <w:tcW w:type="dxa" w:w="1046"/>
          </w:tcPr>
          <w:p>
            <w:r>
              <w:rPr>
                <w:rFonts w:ascii="SimSun" w:hAnsi="SimSun"/>
                <w:b w:val="0"/>
                <w:i w:val="0"/>
                <w:color w:val="000000"/>
                <w:sz w:val="17"/>
                <w:rFonts w:ascii="SimSun" w:hAnsi="SimSun" w:eastAsia="SimSun"/>
              </w:rPr>
              <w:t>36.6 / 43.9周</w:t>
            </w:r>
          </w:p>
        </w:tc>
        <w:tc>
          <w:tcPr>
            <w:tcW w:type="dxa" w:w="1046"/>
          </w:tcPr>
          <w:p>
            <w:r>
              <w:rPr>
                <w:rFonts w:ascii="SimSun" w:hAnsi="SimSun"/>
                <w:b w:val="0"/>
                <w:i w:val="0"/>
                <w:color w:val="000000"/>
                <w:sz w:val="17"/>
                <w:rFonts w:ascii="SimSun" w:hAnsi="SimSun" w:eastAsia="SimSun"/>
              </w:rPr>
              <w:t>0.38%</w:t>
            </w:r>
          </w:p>
        </w:tc>
        <w:tc>
          <w:tcPr>
            <w:tcW w:type="dxa" w:w="1046"/>
          </w:tcPr>
          <w:p>
            <w:r>
              <w:rPr>
                <w:rFonts w:ascii="SimSun" w:hAnsi="SimSun"/>
                <w:b w:val="0"/>
                <w:i w:val="0"/>
                <w:color w:val="000000"/>
                <w:sz w:val="17"/>
                <w:rFonts w:ascii="SimSun" w:hAnsi="SimSun" w:eastAsia="SimSun"/>
              </w:rPr>
              <w:t>16–20周截断</w:t>
            </w:r>
          </w:p>
        </w:tc>
      </w:tr>
      <w:tr>
        <w:tc>
          <w:tcPr>
            <w:tcW w:type="dxa" w:w="1046"/>
          </w:tcPr>
          <w:p>
            <w:r>
              <w:rPr>
                <w:rFonts w:ascii="SimSun" w:hAnsi="SimSun"/>
                <w:b w:val="0"/>
                <w:i w:val="0"/>
                <w:color w:val="000000"/>
                <w:sz w:val="17"/>
                <w:rFonts w:ascii="SimSun" w:hAnsi="SimSun" w:eastAsia="SimSun"/>
              </w:rPr>
              <w:t>RSV 2025–26 流行季</w:t>
            </w:r>
          </w:p>
        </w:tc>
        <w:tc>
          <w:tcPr>
            <w:tcW w:type="dxa" w:w="1046"/>
          </w:tcPr>
          <w:p>
            <w:r>
              <w:rPr>
                <w:rFonts w:ascii="SimSun" w:hAnsi="SimSun"/>
                <w:b w:val="0"/>
                <w:i w:val="0"/>
                <w:color w:val="000000"/>
                <w:sz w:val="17"/>
                <w:rFonts w:ascii="SimSun" w:hAnsi="SimSun" w:eastAsia="SimSun"/>
              </w:rPr>
              <w:t>1.2130</w:t>
            </w:r>
          </w:p>
        </w:tc>
        <w:tc>
          <w:tcPr>
            <w:tcW w:type="dxa" w:w="1046"/>
          </w:tcPr>
          <w:p>
            <w:r>
              <w:rPr>
                <w:rFonts w:ascii="SimSun" w:hAnsi="SimSun"/>
                <w:b w:val="0"/>
                <w:i w:val="0"/>
                <w:color w:val="000000"/>
                <w:sz w:val="17"/>
                <w:rFonts w:ascii="SimSun" w:hAnsi="SimSun" w:eastAsia="SimSun"/>
              </w:rPr>
              <w:t>0.0089</w:t>
            </w:r>
          </w:p>
        </w:tc>
        <w:tc>
          <w:tcPr>
            <w:tcW w:type="dxa" w:w="1046"/>
          </w:tcPr>
          <w:p>
            <w:r>
              <w:rPr>
                <w:rFonts w:ascii="SimSun" w:hAnsi="SimSun"/>
                <w:b w:val="0"/>
                <w:i w:val="0"/>
                <w:color w:val="000000"/>
                <w:sz w:val="17"/>
                <w:rFonts w:ascii="SimSun" w:hAnsi="SimSun" w:eastAsia="SimSun"/>
              </w:rPr>
              <w:t>1000.0</w:t>
            </w:r>
          </w:p>
        </w:tc>
        <w:tc>
          <w:tcPr>
            <w:tcW w:type="dxa" w:w="1046"/>
          </w:tcPr>
          <w:p>
            <w:r>
              <w:rPr>
                <w:rFonts w:ascii="SimSun" w:hAnsi="SimSun"/>
                <w:b w:val="0"/>
                <w:i w:val="0"/>
                <w:color w:val="000000"/>
                <w:sz w:val="17"/>
                <w:rFonts w:ascii="SimSun" w:hAnsi="SimSun" w:eastAsia="SimSun"/>
              </w:rPr>
              <w:t>1,868</w:t>
            </w:r>
          </w:p>
        </w:tc>
        <w:tc>
          <w:tcPr>
            <w:tcW w:type="dxa" w:w="1046"/>
          </w:tcPr>
          <w:p>
            <w:r>
              <w:rPr>
                <w:rFonts w:ascii="SimSun" w:hAnsi="SimSun"/>
                <w:b w:val="0"/>
                <w:i w:val="0"/>
                <w:color w:val="000000"/>
                <w:sz w:val="17"/>
                <w:rFonts w:ascii="SimSun" w:hAnsi="SimSun" w:eastAsia="SimSun"/>
              </w:rPr>
              <w:t>8.4</w:t>
            </w:r>
          </w:p>
        </w:tc>
        <w:tc>
          <w:tcPr>
            <w:tcW w:type="dxa" w:w="1046"/>
          </w:tcPr>
          <w:p>
            <w:r>
              <w:rPr>
                <w:rFonts w:ascii="SimSun" w:hAnsi="SimSun"/>
                <w:b w:val="0"/>
                <w:i w:val="0"/>
                <w:color w:val="000000"/>
                <w:sz w:val="17"/>
                <w:rFonts w:ascii="SimSun" w:hAnsi="SimSun" w:eastAsia="SimSun"/>
              </w:rPr>
              <w:t>58.4 / 70.1周</w:t>
            </w:r>
          </w:p>
        </w:tc>
        <w:tc>
          <w:tcPr>
            <w:tcW w:type="dxa" w:w="1046"/>
          </w:tcPr>
          <w:p>
            <w:r>
              <w:rPr>
                <w:rFonts w:ascii="SimSun" w:hAnsi="SimSun"/>
                <w:b w:val="0"/>
                <w:i w:val="0"/>
                <w:color w:val="000000"/>
                <w:sz w:val="17"/>
                <w:rFonts w:ascii="SimSun" w:hAnsi="SimSun" w:eastAsia="SimSun"/>
              </w:rPr>
              <w:t>1.01%</w:t>
            </w:r>
          </w:p>
        </w:tc>
        <w:tc>
          <w:tcPr>
            <w:tcW w:type="dxa" w:w="1046"/>
          </w:tcPr>
          <w:p>
            <w:r>
              <w:rPr>
                <w:rFonts w:ascii="SimSun" w:hAnsi="SimSun"/>
                <w:b w:val="0"/>
                <w:i w:val="0"/>
                <w:color w:val="000000"/>
                <w:sz w:val="17"/>
                <w:rFonts w:ascii="SimSun" w:hAnsi="SimSun" w:eastAsia="SimSun"/>
              </w:rPr>
              <w:t>16–20周截断</w:t>
            </w:r>
          </w:p>
        </w:tc>
      </w:tr>
      <w:tr>
        <w:tc>
          <w:tcPr>
            <w:tcW w:type="dxa" w:w="1046"/>
          </w:tcPr>
          <w:p>
            <w:r>
              <w:rPr>
                <w:rFonts w:ascii="SimSun" w:hAnsi="SimSun"/>
                <w:b w:val="0"/>
                <w:i w:val="0"/>
                <w:color w:val="000000"/>
                <w:sz w:val="17"/>
                <w:rFonts w:ascii="SimSun" w:hAnsi="SimSun" w:eastAsia="SimSun"/>
              </w:rPr>
              <w:t>流感 2022–23 暴发早期</w:t>
            </w:r>
          </w:p>
        </w:tc>
        <w:tc>
          <w:tcPr>
            <w:tcW w:type="dxa" w:w="1046"/>
          </w:tcPr>
          <w:p>
            <w:r>
              <w:rPr>
                <w:rFonts w:ascii="SimSun" w:hAnsi="SimSun"/>
                <w:b w:val="0"/>
                <w:i w:val="0"/>
                <w:color w:val="000000"/>
                <w:sz w:val="17"/>
                <w:rFonts w:ascii="SimSun" w:hAnsi="SimSun" w:eastAsia="SimSun"/>
              </w:rPr>
              <w:t>1.4138</w:t>
            </w:r>
          </w:p>
        </w:tc>
        <w:tc>
          <w:tcPr>
            <w:tcW w:type="dxa" w:w="1046"/>
          </w:tcPr>
          <w:p>
            <w:r>
              <w:rPr>
                <w:rFonts w:ascii="SimSun" w:hAnsi="SimSun"/>
                <w:b w:val="0"/>
                <w:i w:val="0"/>
                <w:color w:val="000000"/>
                <w:sz w:val="17"/>
                <w:rFonts w:ascii="SimSun" w:hAnsi="SimSun" w:eastAsia="SimSun"/>
              </w:rPr>
              <w:t>0.0557</w:t>
            </w:r>
          </w:p>
        </w:tc>
        <w:tc>
          <w:tcPr>
            <w:tcW w:type="dxa" w:w="1046"/>
          </w:tcPr>
          <w:p>
            <w:r>
              <w:rPr>
                <w:rFonts w:ascii="SimSun" w:hAnsi="SimSun"/>
                <w:b w:val="0"/>
                <w:i w:val="0"/>
                <w:color w:val="000000"/>
                <w:sz w:val="17"/>
                <w:rFonts w:ascii="SimSun" w:hAnsi="SimSun" w:eastAsia="SimSun"/>
              </w:rPr>
              <w:t>50.2</w:t>
            </w:r>
          </w:p>
        </w:tc>
        <w:tc>
          <w:tcPr>
            <w:tcW w:type="dxa" w:w="1046"/>
          </w:tcPr>
          <w:p>
            <w:r>
              <w:rPr>
                <w:rFonts w:ascii="SimSun" w:hAnsi="SimSun"/>
                <w:b w:val="0"/>
                <w:i w:val="0"/>
                <w:color w:val="000000"/>
                <w:sz w:val="17"/>
                <w:rFonts w:ascii="SimSun" w:hAnsi="SimSun" w:eastAsia="SimSun"/>
              </w:rPr>
              <w:t>3,116</w:t>
            </w:r>
          </w:p>
        </w:tc>
        <w:tc>
          <w:tcPr>
            <w:tcW w:type="dxa" w:w="1046"/>
          </w:tcPr>
          <w:p>
            <w:r>
              <w:rPr>
                <w:rFonts w:ascii="SimSun" w:hAnsi="SimSun"/>
                <w:b w:val="0"/>
                <w:i w:val="0"/>
                <w:color w:val="000000"/>
                <w:sz w:val="17"/>
                <w:rFonts w:ascii="SimSun" w:hAnsi="SimSun" w:eastAsia="SimSun"/>
              </w:rPr>
              <w:t>3.2</w:t>
            </w:r>
          </w:p>
        </w:tc>
        <w:tc>
          <w:tcPr>
            <w:tcW w:type="dxa" w:w="1046"/>
          </w:tcPr>
          <w:p>
            <w:r>
              <w:rPr>
                <w:rFonts w:ascii="SimSun" w:hAnsi="SimSun"/>
                <w:b w:val="0"/>
                <w:i w:val="0"/>
                <w:color w:val="000000"/>
                <w:sz w:val="17"/>
                <w:rFonts w:ascii="SimSun" w:hAnsi="SimSun" w:eastAsia="SimSun"/>
              </w:rPr>
              <w:t>11.2 / 5.1周</w:t>
            </w:r>
          </w:p>
        </w:tc>
        <w:tc>
          <w:tcPr>
            <w:tcW w:type="dxa" w:w="1046"/>
          </w:tcPr>
          <w:p>
            <w:r>
              <w:rPr>
                <w:rFonts w:ascii="SimSun" w:hAnsi="SimSun"/>
                <w:b w:val="0"/>
                <w:i w:val="0"/>
                <w:color w:val="000000"/>
                <w:sz w:val="17"/>
                <w:rFonts w:ascii="SimSun" w:hAnsi="SimSun" w:eastAsia="SimSun"/>
              </w:rPr>
              <w:t>0.32%</w:t>
            </w:r>
          </w:p>
        </w:tc>
        <w:tc>
          <w:tcPr>
            <w:tcW w:type="dxa" w:w="1046"/>
          </w:tcPr>
          <w:p>
            <w:r>
              <w:rPr>
                <w:rFonts w:ascii="SimSun" w:hAnsi="SimSun"/>
                <w:b w:val="0"/>
                <w:i w:val="0"/>
                <w:color w:val="000000"/>
                <w:sz w:val="17"/>
                <w:rFonts w:ascii="SimSun" w:hAnsi="SimSun" w:eastAsia="SimSun"/>
              </w:rPr>
              <w:t>--</w:t>
            </w:r>
          </w:p>
        </w:tc>
      </w:tr>
      <w:tr>
        <w:tc>
          <w:tcPr>
            <w:tcW w:type="dxa" w:w="1046"/>
          </w:tcPr>
          <w:p>
            <w:r>
              <w:rPr>
                <w:rFonts w:ascii="SimSun" w:hAnsi="SimSun"/>
                <w:b w:val="0"/>
                <w:i w:val="0"/>
                <w:color w:val="000000"/>
                <w:sz w:val="17"/>
                <w:rFonts w:ascii="SimSun" w:hAnsi="SimSun" w:eastAsia="SimSun"/>
              </w:rPr>
              <w:t>流感 2024–25 流行季</w:t>
            </w:r>
          </w:p>
        </w:tc>
        <w:tc>
          <w:tcPr>
            <w:tcW w:type="dxa" w:w="1046"/>
          </w:tcPr>
          <w:p>
            <w:r>
              <w:rPr>
                <w:rFonts w:ascii="SimSun" w:hAnsi="SimSun"/>
                <w:b w:val="0"/>
                <w:i w:val="0"/>
                <w:color w:val="000000"/>
                <w:sz w:val="17"/>
                <w:rFonts w:ascii="SimSun" w:hAnsi="SimSun" w:eastAsia="SimSun"/>
              </w:rPr>
              <w:t>1.4012</w:t>
            </w:r>
          </w:p>
        </w:tc>
        <w:tc>
          <w:tcPr>
            <w:tcW w:type="dxa" w:w="1046"/>
          </w:tcPr>
          <w:p>
            <w:r>
              <w:rPr>
                <w:rFonts w:ascii="SimSun" w:hAnsi="SimSun"/>
                <w:b w:val="0"/>
                <w:i w:val="0"/>
                <w:color w:val="000000"/>
                <w:sz w:val="17"/>
                <w:rFonts w:ascii="SimSun" w:hAnsi="SimSun" w:eastAsia="SimSun"/>
              </w:rPr>
              <w:t>0.0388</w:t>
            </w:r>
          </w:p>
        </w:tc>
        <w:tc>
          <w:tcPr>
            <w:tcW w:type="dxa" w:w="1046"/>
          </w:tcPr>
          <w:p>
            <w:r>
              <w:rPr>
                <w:rFonts w:ascii="SimSun" w:hAnsi="SimSun"/>
                <w:b w:val="0"/>
                <w:i w:val="0"/>
                <w:color w:val="000000"/>
                <w:sz w:val="17"/>
                <w:rFonts w:ascii="SimSun" w:hAnsi="SimSun" w:eastAsia="SimSun"/>
              </w:rPr>
              <w:t>111.7</w:t>
            </w:r>
          </w:p>
        </w:tc>
        <w:tc>
          <w:tcPr>
            <w:tcW w:type="dxa" w:w="1046"/>
          </w:tcPr>
          <w:p>
            <w:r>
              <w:rPr>
                <w:rFonts w:ascii="SimSun" w:hAnsi="SimSun"/>
                <w:b w:val="0"/>
                <w:i w:val="0"/>
                <w:color w:val="000000"/>
                <w:sz w:val="17"/>
                <w:rFonts w:ascii="SimSun" w:hAnsi="SimSun" w:eastAsia="SimSun"/>
              </w:rPr>
              <w:t>7,586</w:t>
            </w:r>
          </w:p>
        </w:tc>
        <w:tc>
          <w:tcPr>
            <w:tcW w:type="dxa" w:w="1046"/>
          </w:tcPr>
          <w:p>
            <w:r>
              <w:rPr>
                <w:rFonts w:ascii="SimSun" w:hAnsi="SimSun"/>
                <w:b w:val="0"/>
                <w:i w:val="0"/>
                <w:color w:val="000000"/>
                <w:sz w:val="17"/>
                <w:rFonts w:ascii="SimSun" w:hAnsi="SimSun" w:eastAsia="SimSun"/>
              </w:rPr>
              <w:t>3.2</w:t>
            </w:r>
          </w:p>
        </w:tc>
        <w:tc>
          <w:tcPr>
            <w:tcW w:type="dxa" w:w="1046"/>
          </w:tcPr>
          <w:p>
            <w:r>
              <w:rPr>
                <w:rFonts w:ascii="SimSun" w:hAnsi="SimSun"/>
                <w:b w:val="0"/>
                <w:i w:val="0"/>
                <w:color w:val="000000"/>
                <w:sz w:val="17"/>
                <w:rFonts w:ascii="SimSun" w:hAnsi="SimSun" w:eastAsia="SimSun"/>
              </w:rPr>
              <w:t>15.8 / 7.2周</w:t>
            </w:r>
          </w:p>
        </w:tc>
        <w:tc>
          <w:tcPr>
            <w:tcW w:type="dxa" w:w="1046"/>
          </w:tcPr>
          <w:p>
            <w:r>
              <w:rPr>
                <w:rFonts w:ascii="SimSun" w:hAnsi="SimSun"/>
                <w:b w:val="0"/>
                <w:i w:val="0"/>
                <w:color w:val="000000"/>
                <w:sz w:val="17"/>
                <w:rFonts w:ascii="SimSun" w:hAnsi="SimSun" w:eastAsia="SimSun"/>
              </w:rPr>
              <w:t>0.13%</w:t>
            </w:r>
          </w:p>
        </w:tc>
        <w:tc>
          <w:tcPr>
            <w:tcW w:type="dxa" w:w="1046"/>
          </w:tcPr>
          <w:p>
            <w:r>
              <w:rPr>
                <w:rFonts w:ascii="SimSun" w:hAnsi="SimSun"/>
                <w:b w:val="0"/>
                <w:i w:val="0"/>
                <w:color w:val="000000"/>
                <w:sz w:val="17"/>
                <w:rFonts w:ascii="SimSun" w:hAnsi="SimSun" w:eastAsia="SimSun"/>
              </w:rPr>
              <w:t>--</w:t>
            </w:r>
          </w:p>
        </w:tc>
      </w:tr>
    </w:tbl>
    <w:p>
      <w:pPr>
        <w:spacing w:before="200" w:after="80" w:line="288" w:lineRule="auto"/>
        <w:jc w:val="left"/>
      </w:pPr>
      <w:r>
        <w:rPr>
          <w:rFonts w:ascii="SimHei" w:hAnsi="SimHei"/>
          <w:b/>
          <w:i w:val="0"/>
          <w:color w:val="000000"/>
          <w:sz w:val="24"/>
          <w:rFonts w:ascii="SimHei" w:hAnsi="SimHei" w:eastAsia="SimHei"/>
        </w:rPr>
        <w:t>4.2  流行波次三相位对照分析</w:t>
      </w:r>
    </w:p>
    <w:p>
      <w:pPr>
        <w:spacing w:before="0" w:after="60" w:line="288" w:lineRule="auto"/>
        <w:ind w:firstLine="420"/>
        <w:jc w:val="left"/>
      </w:pPr>
      <w:r>
        <w:rPr>
          <w:rFonts w:ascii="SimSun" w:hAnsi="SimSun"/>
          <w:b w:val="0"/>
          <w:i w:val="0"/>
          <w:color w:val="000000"/>
          <w:sz w:val="21"/>
          <w:rFonts w:ascii="SimSun" w:hAnsi="SimSun" w:eastAsia="SimSun"/>
        </w:rPr>
        <w:t>早期指数爬坡期系统增长信噪比充沛，视界良定（Delta 达 13.5 周）；平台达峰期有效再生数逼近 1，信噪比剧烈压缩，视界显著收缩约 42%（Delta 降至 7.8 周）；消退期系统进入亚临界体制，发病期望衰退向吸收态转移，公卫操作转向微观溯源清零。</w:t>
      </w:r>
    </w:p>
    <w:p>
      <w:pPr>
        <w:spacing w:before="200" w:after="80" w:line="288" w:lineRule="auto"/>
        <w:jc w:val="left"/>
      </w:pPr>
      <w:r>
        <w:rPr>
          <w:rFonts w:ascii="SimHei" w:hAnsi="SimHei"/>
          <w:b/>
          <w:i w:val="0"/>
          <w:color w:val="000000"/>
          <w:sz w:val="24"/>
          <w:rFonts w:ascii="SimHei" w:hAnsi="SimHei" w:eastAsia="SimHei"/>
        </w:rPr>
        <w:t>4.3  四项预测误差记账完全实测分解</w:t>
      </w:r>
    </w:p>
    <w:p>
      <w:pPr>
        <w:spacing w:before="0" w:after="60" w:line="288" w:lineRule="auto"/>
        <w:ind w:firstLine="420"/>
        <w:jc w:val="left"/>
      </w:pPr>
      <w:r>
        <w:rPr>
          <w:rFonts w:ascii="SimSun" w:hAnsi="SimSun"/>
          <w:b w:val="0"/>
          <w:i w:val="0"/>
          <w:color w:val="000000"/>
          <w:sz w:val="21"/>
          <w:rFonts w:ascii="SimSun" w:hAnsi="SimSun" w:eastAsia="SimSun"/>
        </w:rPr>
        <w:t>四项预测误差记账恒等式实测表明：在短程（1–2 周）前瞻中，已建模项解释力仅为 4.6%–27.4%，未归因结构性残差占实测方差的 72.6%–94.2%（全量程达 95.4%）；而在中长程累积中，参数外推误差迅速上升，流感 4 周机制解释力达 88.7%。若采用 40 节点高斯精确 P，流感 4 周机制项解释力达 102%，残差为 -28.1，生动反映了高阶凸性展开对长程外推误差的敏感性。</w:t>
      </w:r>
    </w:p>
    <w:p>
      <w:pPr>
        <w:spacing w:before="200" w:after="80" w:line="288" w:lineRule="auto"/>
        <w:jc w:val="left"/>
      </w:pPr>
      <w:r>
        <w:rPr>
          <w:rFonts w:ascii="SimHei" w:hAnsi="SimHei"/>
          <w:b/>
          <w:i w:val="0"/>
          <w:color w:val="000000"/>
          <w:sz w:val="24"/>
          <w:rFonts w:ascii="SimHei" w:hAnsi="SimHei" w:eastAsia="SimHei"/>
        </w:rPr>
        <w:t>4.4  伪实时滚动样本外预测验证与双层分析框架</w:t>
      </w:r>
    </w:p>
    <w:p>
      <w:pPr>
        <w:spacing w:before="0" w:after="60" w:line="288" w:lineRule="auto"/>
        <w:ind w:firstLine="420"/>
        <w:jc w:val="left"/>
      </w:pPr>
      <w:r>
        <w:rPr>
          <w:rFonts w:ascii="SimSun" w:hAnsi="SimSun"/>
          <w:b w:val="0"/>
          <w:i w:val="0"/>
          <w:color w:val="000000"/>
          <w:sz w:val="21"/>
          <w:rFonts w:ascii="SimSun" w:hAnsi="SimSun" w:eastAsia="SimSun"/>
        </w:rPr>
        <w:t>在回填固化序列上的逐周伪实时滚动样本外预测验证表明，点预测相对持续性基线的技能比在 h 约为 3.8–4.5 周处穿越 1.0 水平线，证实业务可操作时效通常被压缩至 1–4 周。这一经验映照确立了理论机制上限（2.9–13.5 周）与业务操作时效（1–4 周）构成的双层基准框架。</w:t>
      </w:r>
    </w:p>
    <w:p>
      <w:pPr>
        <w:spacing w:before="280" w:after="120" w:line="288" w:lineRule="auto"/>
        <w:jc w:val="left"/>
      </w:pPr>
      <w:r>
        <w:rPr>
          <w:rFonts w:ascii="SimHei" w:hAnsi="SimHei"/>
          <w:b/>
          <w:i w:val="0"/>
          <w:color w:val="000000"/>
          <w:sz w:val="28"/>
          <w:rFonts w:ascii="SimHei" w:hAnsi="SimHei" w:eastAsia="SimHei"/>
        </w:rPr>
        <w:t>5  讨论与公共卫生启示</w:t>
      </w:r>
    </w:p>
    <w:p>
      <w:pPr>
        <w:spacing w:before="200" w:after="80" w:line="288" w:lineRule="auto"/>
        <w:jc w:val="left"/>
      </w:pPr>
      <w:r>
        <w:rPr>
          <w:rFonts w:ascii="SimHei" w:hAnsi="SimHei"/>
          <w:b/>
          <w:i w:val="0"/>
          <w:color w:val="000000"/>
          <w:sz w:val="24"/>
          <w:rFonts w:ascii="SimHei" w:hAnsi="SimHei" w:eastAsia="SimHei"/>
        </w:rPr>
        <w:t>5.1  决策分级场景映射与免责说明</w:t>
      </w:r>
    </w:p>
    <w:p>
      <w:pPr>
        <w:spacing w:before="0" w:after="60" w:line="288" w:lineRule="auto"/>
        <w:ind w:firstLine="420"/>
        <w:jc w:val="left"/>
      </w:pPr>
      <w:r>
        <w:rPr>
          <w:rFonts w:ascii="SimSun" w:hAnsi="SimSun"/>
          <w:b w:val="0"/>
          <w:i w:val="0"/>
          <w:color w:val="000000"/>
          <w:sz w:val="21"/>
          <w:rFonts w:ascii="SimSun" w:hAnsi="SimSun" w:eastAsia="SimSun"/>
        </w:rPr>
        <w:t>本节所构建的分级决策映射与预警触发规则旨在提供方法学层面的理论基准与示意性推演框架，具体的数值门槛尚未经过前瞻性多中心真实公卫实践检验，不构成各级疾控与医疗机构的直接操作性处方指南；在实际部署中必须依据本地历史监测质量与误警/漏警成本独立校准。</w:t>
      </w:r>
    </w:p>
    <w:p>
      <w:pPr>
        <w:spacing w:before="200" w:after="80" w:line="288" w:lineRule="auto"/>
        <w:jc w:val="left"/>
      </w:pPr>
      <w:r>
        <w:rPr>
          <w:rFonts w:ascii="SimHei" w:hAnsi="SimHei"/>
          <w:b/>
          <w:i w:val="0"/>
          <w:color w:val="000000"/>
          <w:sz w:val="24"/>
          <w:rFonts w:ascii="SimHei" w:hAnsi="SimHei" w:eastAsia="SimHei"/>
        </w:rPr>
        <w:t>5.2  健康公平性与二项稀疏化理论澄清</w:t>
      </w:r>
    </w:p>
    <w:p>
      <w:pPr>
        <w:spacing w:before="0" w:after="60" w:line="288" w:lineRule="auto"/>
        <w:ind w:firstLine="420"/>
        <w:jc w:val="left"/>
      </w:pPr>
      <w:r>
        <w:rPr>
          <w:rFonts w:ascii="SimSun" w:hAnsi="SimSun"/>
          <w:b w:val="0"/>
          <w:i w:val="0"/>
          <w:color w:val="000000"/>
          <w:sz w:val="21"/>
          <w:rFonts w:ascii="SimSun" w:hAnsi="SimSun" w:eastAsia="SimSun"/>
        </w:rPr>
        <w:t>在概率统计理论中，负二项分布在独立二项稀疏化抽样下，过度离散度参数 k 是严格保持不变的（Var(Y) = rho*mu + (rho*mu)^2/k）。因此监测覆盖率 rho 的降低并非改变表观聚集度 k，而是将到达过程的有效样本规模压缩为 rho*I_0，导致推断方差膨胀，最终人为压缩欠发达地区的理论视界。这为避免逆向马太效应、倡导兜底性监测资源倾斜提供了严谨的数理支撑。</w:t>
      </w:r>
    </w:p>
    <w:p>
      <w:pPr>
        <w:spacing w:before="280" w:after="120" w:line="288" w:lineRule="auto"/>
        <w:jc w:val="left"/>
      </w:pPr>
      <w:r>
        <w:rPr>
          <w:rFonts w:ascii="SimHei" w:hAnsi="SimHei"/>
          <w:b/>
          <w:i w:val="0"/>
          <w:color w:val="000000"/>
          <w:sz w:val="28"/>
          <w:rFonts w:ascii="SimHei" w:hAnsi="SimHei" w:eastAsia="SimHei"/>
        </w:rPr>
        <w:t>6  结论</w:t>
      </w:r>
    </w:p>
    <w:p>
      <w:pPr>
        <w:spacing w:before="0" w:after="60" w:line="288" w:lineRule="auto"/>
        <w:ind w:firstLine="420"/>
        <w:jc w:val="left"/>
      </w:pPr>
      <w:r>
        <w:rPr>
          <w:rFonts w:ascii="SimSun" w:hAnsi="SimSun"/>
          <w:b w:val="0"/>
          <w:i w:val="0"/>
          <w:color w:val="000000"/>
          <w:sz w:val="21"/>
          <w:rFonts w:ascii="SimSun" w:hAnsi="SimSun" w:eastAsia="SimSun"/>
        </w:rPr>
        <w:t>本文建立了传染病前瞻预测相对均方误差的理论加性分解与可预测视界解析映射，给出了领先阶信噪比标度律与高阶数值精确根，确立了负二项 Cramér–Rao 样本量门槛与有限种群临界慢化标度。实证测算与记账核算揭示了宏观平滑与微观硬界的尺度规律，提出了理论机制上限与业务时效的双层分析框架，为引导公共卫生预警决策从盲目远期外推走向基于数理极限的理性规划提供了科学基准。</w:t>
      </w:r>
    </w:p>
    <w:sectPr w:rsidR="00FC693F" w:rsidRPr="0006063C" w:rsidSect="00034616">
      <w:pgSz w:w="12240" w:h="15840"/>
      <w:pgMar w:top="1440" w:right="1411" w:bottom="1440"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