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</w:pPr>
      <w:r>
        <w:rPr>
          <w:rFonts w:ascii="Microsoft YaHei" w:hAnsi="Microsoft YaHei" w:eastAsia="Microsoft YaHei"/>
          <w:b/>
          <w:color w:val="2E74B5"/>
          <w:sz w:val="48"/>
        </w:rPr>
        <w:t>公共基础能力设计说明</w:t>
      </w:r>
    </w:p>
    <w:p>
      <w:r>
        <w:rPr>
          <w:sz w:val="24"/>
        </w:rPr>
        <w:t>公共枚举定义（告警等级 / 任务状态 / 照护等级 / 角色类型 / 事件来源）与通用工具类补充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适用模块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common-core；各业务服务按需引用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技术基线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Java 17 / Spring Boot 3.2.x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统一跨服务 code、工具能力与安全约束</w:t>
            </w:r>
          </w:p>
        </w:tc>
      </w:tr>
    </w:tbl>
    <w:p/>
    <w:p>
      <w:pPr>
        <w:pStyle w:val="Heading1"/>
      </w:pPr>
      <w:r>
        <w:t>1. 设计原则</w:t>
      </w:r>
    </w:p>
    <w:p>
      <w:pPr>
        <w:pStyle w:val="ListBullet"/>
      </w:pPr>
      <w:r>
        <w:t>枚举对外传递稳定 code，展示使用 label；禁止使用 ordinal。</w:t>
      </w:r>
    </w:p>
    <w:p>
      <w:pPr>
        <w:pStyle w:val="ListBullet"/>
      </w:pPr>
      <w:r>
        <w:t>公共枚举仅覆盖跨服务语义，服务专属状态留在所属服务。</w:t>
      </w:r>
    </w:p>
    <w:p>
      <w:pPr>
        <w:pStyle w:val="ListBullet"/>
      </w:pPr>
      <w:r>
        <w:t>工具类无状态、线程安全，不依赖 Web 请求上下文。</w:t>
      </w:r>
    </w:p>
    <w:p>
      <w:pPr>
        <w:pStyle w:val="ListBullet"/>
      </w:pPr>
      <w:r>
        <w:t>数据库保存 code；接口和消息体传 code，新增值需做消费者兼容评估。</w:t>
      </w:r>
    </w:p>
    <w:p>
      <w:pPr>
        <w:pStyle w:val="Heading1"/>
      </w:pPr>
      <w:r>
        <w:t>2. 建议包结构</w:t>
      </w:r>
    </w:p>
    <w:p>
      <w:pPr>
        <w:ind w:left="288"/>
      </w:pPr>
      <w:r>
        <w:rPr>
          <w:rFonts w:ascii="Consolas" w:hAnsi="Consolas"/>
          <w:sz w:val="17"/>
        </w:rPr>
        <w:t>com.eldercare.common.core</w:t>
        <w:br/>
        <w:t>├─ enums: AlertLevel, TaskStatus, CareLevel, RoleType, EventSource</w:t>
        <w:br/>
        <w:t>└─ utils: DateTimeUtils, IdGenerator, DesensitizeUtils</w:t>
      </w:r>
    </w:p>
    <w:p>
      <w:pPr>
        <w:pStyle w:val="Heading1"/>
      </w:pPr>
      <w:r>
        <w:t>3. 枚举约定</w:t>
      </w:r>
    </w:p>
    <w:p>
      <w:pPr>
        <w:ind w:left="288"/>
      </w:pPr>
      <w:r>
        <w:rPr>
          <w:rFonts w:ascii="Consolas" w:hAnsi="Consolas"/>
          <w:sz w:val="17"/>
        </w:rPr>
        <w:t>public interface CodeEnum&lt;T&gt; { T getCode(); String getLabel(); }</w:t>
      </w:r>
    </w:p>
    <w:p>
      <w:r>
        <w:t>每个枚举应提供 fromCode；非法值抛出 BizException，不返回 null。</w:t>
      </w:r>
    </w:p>
    <w:p>
      <w:pPr>
        <w:pStyle w:val="Heading2"/>
      </w:pPr>
      <w:r>
        <w:t>3.1 告警等级 AlertLevel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label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INFO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无需立即介入的系统/设备提示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WARNING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预警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存在风险，需要责任人员确认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CRITICAL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紧急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可能危及安全，立即通知并升级处置</w:t>
            </w:r>
          </w:p>
        </w:tc>
      </w:tr>
    </w:tbl>
    <w:p/>
    <w:p>
      <w:pPr>
        <w:pStyle w:val="Heading2"/>
      </w:pPr>
      <w:r>
        <w:t>3.2 任务状态 TaskStatus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label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允许后继状态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待处理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PROCESSING、CANCELLED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PROCESSING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处理中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COMPLETED、CANCELLED、FAILED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COMPLETED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CANCELLED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已取消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FAILED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处理失败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PENDING（重试）、CANCELLED</w:t>
            </w:r>
          </w:p>
        </w:tc>
      </w:tr>
    </w:tbl>
    <w:p/>
    <w:p>
      <w:pPr>
        <w:pStyle w:val="Heading2"/>
      </w:pPr>
      <w:r>
        <w:t>3.3 照护等级 CareLevel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label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适用说明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LEVEL_1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一级照护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生活基本自理，以巡视和宣教为主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LEVEL_2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二级照护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部分生活活动需要协助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LEVEL_3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三级照护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依赖度较高，持续协助与重点观察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LEVEL_4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四级照护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重度依赖或高风险，强化个性化方案</w:t>
            </w:r>
          </w:p>
        </w:tc>
      </w:tr>
    </w:tbl>
    <w:p/>
    <w:p>
      <w:pPr>
        <w:pStyle w:val="Heading2"/>
      </w:pPr>
      <w:r>
        <w:t>3.4 角色类型 RoleType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label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权限边界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PLATFORM_ADMIN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平台管理员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平台配置、机构管理、全局审计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ORG_ADMIN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机构管理员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本机构人员、老人、设备配置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CARE_STAFF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照护人员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授权档案、照护任务、服务记录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FAMILY_MEMBER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家属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关联老人授权信息与提醒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ELDER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本人服务信息与适老化交互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设备账号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认证、上报和受控指令</w:t>
            </w:r>
          </w:p>
        </w:tc>
      </w:tr>
    </w:tbl>
    <w:p/>
    <w:p>
      <w:pPr>
        <w:pStyle w:val="Heading2"/>
      </w:pPr>
      <w:r>
        <w:t>3.5 事件来源 EventSource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code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label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定时任务、规则引擎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人工操作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DEVICE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IoT 遥测、SOS、生命体征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THIRD_PARTY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第三方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外部系统回调</w:t>
            </w:r>
          </w:p>
        </w:tc>
      </w:tr>
    </w:tbl>
    <w:p/>
    <w:p>
      <w:pPr>
        <w:pStyle w:val="Heading1"/>
      </w:pPr>
      <w:r>
        <w:t>4. 接口、存储与兼容</w:t>
      </w:r>
    </w:p>
    <w:p>
      <w:pPr>
        <w:pStyle w:val="ListBullet"/>
      </w:pPr>
      <w:r>
        <w:t>数据库字段建议 VARCHAR(32)，保存 code 而非中文 label。</w:t>
      </w:r>
    </w:p>
    <w:p>
      <w:pPr>
        <w:pStyle w:val="ListBullet"/>
      </w:pPr>
      <w:r>
        <w:t>REST 例如 alertLevel: CRITICAL；前端/展示层映射 label。</w:t>
      </w:r>
    </w:p>
    <w:p>
      <w:pPr>
        <w:pStyle w:val="ListBullet"/>
      </w:pPr>
      <w:r>
        <w:t>消息事件应包含 eventSource、eventTime、traceId。</w:t>
      </w:r>
    </w:p>
    <w:p>
      <w:pPr>
        <w:pStyle w:val="ListBullet"/>
      </w:pPr>
      <w:r>
        <w:t>状态流转由领域服务校验，不能仅依赖前端限制。</w:t>
      </w:r>
    </w:p>
    <w:p>
      <w:pPr>
        <w:pStyle w:val="ListBullet"/>
      </w:pPr>
      <w:r>
        <w:t>角色类型不是细粒度权限；权限仍由 RBAC 权限点或资源策略控制。</w:t>
      </w:r>
    </w:p>
    <w:p>
      <w:pPr>
        <w:pStyle w:val="Heading1"/>
      </w:pPr>
      <w:r>
        <w:t>5. 通用工具类</w:t>
      </w:r>
    </w:p>
    <w:p>
      <w:pPr>
        <w:pStyle w:val="Heading2"/>
      </w:pPr>
      <w:r>
        <w:t>5.1 DateTimeUtils</w:t>
      </w:r>
    </w:p>
    <w:p>
      <w:r>
        <w:t>统一时间类型、时区和格式。内部使用 Instant 或 LocalDateTime；跨系统传 ISO-8601 并带时区；业务默认时区为 Asia/Shanghai。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能力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建议 API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约束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当前时间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now() / nowShanghai()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固定默认时区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格式化/解析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format / parseDateTime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集中格式串；非法输入可识别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范围与计算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isBetween / startOfDay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明确边界；避免毫秒手算</w:t>
            </w:r>
          </w:p>
        </w:tc>
      </w:tr>
    </w:tbl>
    <w:p/>
    <w:p>
      <w:pPr>
        <w:pStyle w:val="Heading2"/>
      </w:pPr>
      <w:r>
        <w:t>5.2 IdGenerator</w:t>
      </w:r>
    </w:p>
    <w:p>
      <w:r>
        <w:t>默认提供去横线 UUID。需要有序、短 ID 或高并发 ID 时，接入独立雪花算法/ID 服务；禁止以 System.currentTimeMillis() 作为唯一 ID。</w:t>
      </w:r>
    </w:p>
    <w:p>
      <w:pPr>
        <w:ind w:left="288"/>
      </w:pPr>
      <w:r>
        <w:rPr>
          <w:rFonts w:ascii="Consolas" w:hAnsi="Consolas"/>
          <w:sz w:val="17"/>
        </w:rPr>
        <w:t>public static String uuid() { return UUID.randomUUID().toString().replace(-, "); }</w:t>
      </w:r>
    </w:p>
    <w:p>
      <w:pPr>
        <w:pStyle w:val="Heading2"/>
      </w:pPr>
      <w:r>
        <w:t>5.3 DesensitizeUtils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手机号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保留前三后四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138****1234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身份证号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保留前六后四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110101********1234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姓名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保留姓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张* / 欧阳*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住址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保留到区县或前六位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北京市朝阳区****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邮箱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保留首字符与域名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a***@example.com</w:t>
            </w:r>
          </w:p>
        </w:tc>
      </w:tr>
    </w:tbl>
    <w:p/>
    <w:p>
      <w:pPr>
        <w:pStyle w:val="ListBullet"/>
      </w:pPr>
      <w:r>
        <w:t>日志默认脱敏手机号、身份证、住址和紧急联系人。</w:t>
      </w:r>
    </w:p>
    <w:p>
      <w:pPr>
        <w:pStyle w:val="ListBullet"/>
      </w:pPr>
      <w:r>
        <w:t>null、空串、过短或非法值必须安全处理。</w:t>
      </w:r>
    </w:p>
    <w:p>
      <w:pPr>
        <w:pStyle w:val="ListBullet"/>
      </w:pPr>
      <w:r>
        <w:t>脱敏不等同于权限控制；接口仍需鉴权与字段级授权。</w:t>
      </w:r>
    </w:p>
    <w:p>
      <w:pPr>
        <w:pStyle w:val="Heading1"/>
      </w:pPr>
      <w:r>
        <w:t>6. 落地与验收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产出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验收标准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个枚举 + CodeEnum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 唯一；非法值有保护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Jackson 转换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接口仅暴露稳定 code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个工具类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单测覆盖空值、边界、异常输入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服务接入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替换硬编码；编译通过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安全检查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日志与 API 不泄露敏感信息</w:t>
            </w:r>
          </w:p>
        </w:tc>
      </w:tr>
    </w:tbl>
    <w:p/>
    <w:p>
      <w:pPr>
        <w:pStyle w:val="Heading1"/>
      </w:pPr>
      <w:r>
        <w:t>7. 测试建议</w:t>
      </w:r>
    </w:p>
    <w:p>
      <w:pPr>
        <w:pStyle w:val="ListBullet"/>
      </w:pPr>
      <w:r>
        <w:t>枚举：code 映射、非法值、JSON 序列化/反序列化。</w:t>
      </w:r>
    </w:p>
    <w:p>
      <w:pPr>
        <w:pStyle w:val="ListBullet"/>
      </w:pPr>
      <w:r>
        <w:t>日期：时区、跨日、月末、闰年、空值与非法格式。</w:t>
      </w:r>
    </w:p>
    <w:p>
      <w:pPr>
        <w:pStyle w:val="ListBullet"/>
      </w:pPr>
      <w:r>
        <w:t>ID：并发 10 万次无重复，长度符合数据库约束。</w:t>
      </w:r>
    </w:p>
    <w:p>
      <w:pPr>
        <w:pStyle w:val="ListBullet"/>
      </w:pPr>
      <w:r>
        <w:t>脱敏：null、短串、正常值和 Unicode 姓名均不泄露完整敏感信息。</w:t>
      </w: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公共基础能力设计说明</dc:title>
  <dc:subject/>
  <dc:creator>Eldercare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