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ns1:Ignorable="w14 w15 wp14">
  <w:body>
    <w:p ns2:paraId="4B1ED4EA">
      <w:pPr>
        <w:spacing w:after="268"/>
        <w:jc w:val="center"/>
      </w:pPr>
      <w:r>
        <w:rPr>
          <w:rFonts w:ascii="Times New Roman" w:cs="Times New Roman" w:hAnsi="Times New Roman"/>
          <w:b/>
          <w:spacing w:val="0"/>
          <w:sz w:val="40"/>
        </w:rPr>
        <w:t>The Trade-off between Tourism Carrying Capacity and Local Residents’ Quality of Life in Macao: Visualising Visitor Arrivals and Consumer Price Dynamics, 2010–2025</w:t>
      </w:r>
    </w:p>
    <w:p ns2:paraId="3D48DBF9">
      <w:pPr>
        <w:spacing w:after="133"/>
        <w:jc w:val="center"/>
        <w:rPr>
          <w:rFonts w:ascii="Times New Roman Bold" w:cs="Times New Roman Bold" w:hAnsi="Times New Roman Bold" w:hint="default"/>
          <w:b/>
          <w:bCs/>
          <w:spacing w:val="0"/>
          <w:sz w:val="29"/>
        </w:rPr>
      </w:pPr>
      <w:r>
        <w:rPr>
          <w:rFonts w:ascii="Times New Roman Bold" w:cs="Times New Roman Bold" w:hAnsi="Times New Roman Bold" w:hint="default"/>
          <w:b/>
          <w:bCs/>
          <w:spacing w:val="0"/>
          <w:sz w:val="29"/>
        </w:rPr>
        <w:t>Coursework Item: Assignment 01</w:t>
      </w:r>
      <w:r>
        <w:rPr>
          <w:rFonts w:ascii="Times New Roman Bold" w:cs="Times New Roman Bold" w:hAnsi="Times New Roman Bold" w:hint="default"/>
          <w:b/>
          <w:bCs/>
          <w:spacing w:val="0"/>
          <w:sz w:val="29"/>
          <w:lang w:eastAsia="zh-CN" w:val="en-US"/>
        </w:rPr>
        <w:t xml:space="preserve"> - </w:t>
      </w:r>
      <w:r>
        <w:rPr>
          <w:rFonts w:ascii="Times New Roman Bold" w:cs="Times New Roman Bold" w:hAnsi="Times New Roman Bold" w:hint="default"/>
          <w:b/>
          <w:bCs/>
          <w:spacing w:val="0"/>
          <w:sz w:val="29"/>
        </w:rPr>
        <w:t>Preliminary Project Proposal</w:t>
      </w:r>
    </w:p>
    <w:p ns2:paraId="635142B2">
      <w:pPr>
        <w:spacing w:after="133"/>
        <w:jc w:val="center"/>
        <w:rPr>
          <w:rFonts w:eastAsia="宋体" w:hint="eastAsia"/>
          <w:highlight w:val="none"/>
          <w:lang w:eastAsia="zh-CN"/>
        </w:rPr>
      </w:pPr>
      <w:r>
        <w:rPr>
          <w:rFonts w:ascii="Times New Roman" w:cs="Times New Roman" w:hAnsi="Times New Roman"/>
          <w:spacing w:val="0"/>
          <w:sz w:val="29"/>
          <w:highlight w:val="none"/>
        </w:rPr>
        <w:t>Student ID: MC641431</w:t>
      </w:r>
      <w:r>
        <w:rPr>
          <w:rFonts w:ascii="Times New Roman" w:cs="Times New Roman" w:hAnsi="Times New Roman"/>
          <w:spacing w:val="0"/>
          <w:sz w:val="29"/>
          <w:highlight w:val="none"/>
        </w:rPr>
        <w:br w:type="textWrapping"/>
      </w:r>
      <w:r>
        <w:rPr>
          <w:rFonts w:ascii="Times New Roman" w:cs="Times New Roman" w:hAnsi="Times New Roman"/>
          <w:spacing w:val="0"/>
          <w:sz w:val="29"/>
          <w:highlight w:val="none"/>
        </w:rPr>
        <w:t>Name: WANG CUI</w:t>
      </w:r>
    </w:p>
    <w:p ns2:paraId="04041A60">
      <w:pPr>
        <w:spacing w:after="133"/>
        <w:jc w:val="center"/>
        <w:rPr>
          <w:rFonts w:eastAsia="宋体" w:hint="default"/>
          <w:lang w:eastAsia="zh-CN" w:val="en-US"/>
        </w:rPr>
      </w:pPr>
      <w:r>
        <w:rPr>
          <w:rFonts w:ascii="Times New Roman" w:cs="Times New Roman" w:hAnsi="Times New Roman"/>
          <w:spacing w:val="0"/>
          <w:sz w:val="29"/>
        </w:rPr>
        <w:t>Course Code: CISC7204</w:t>
      </w:r>
    </w:p>
    <w:p ns2:paraId="28AD9582">
      <w:pPr>
        <w:spacing w:after="133"/>
        <w:jc w:val="center"/>
      </w:pPr>
      <w:r>
        <w:rPr>
          <w:rFonts w:ascii="Times New Roman" w:cs="Times New Roman" w:hAnsi="Times New Roman"/>
          <w:spacing w:val="0"/>
          <w:sz w:val="29"/>
        </w:rPr>
        <w:t>Date: September 2026</w:t>
      </w:r>
    </w:p>
    <w:p ns2:paraId="7281E563"/>
    <w:p ns2:paraId="4CE6C647">
      <w:pPr>
        <w:spacing w:after="106"/>
      </w:pPr>
      <w:r>
        <w:rPr>
          <w:rFonts w:ascii="Times New Roman" w:cs="Times New Roman" w:hAnsi="Times New Roman"/>
          <w:b/>
          <w:spacing w:val="0"/>
          <w:sz w:val="32"/>
        </w:rPr>
        <w:t>1. Project Topic and Research Question</w:t>
      </w:r>
    </w:p>
    <w:p ns2:paraId="4168893D">
      <w:pPr>
        <w:spacing w:after="133"/>
        <w:jc w:val="both"/>
      </w:pPr>
      <w:r>
        <w:rPr>
          <w:rFonts w:ascii="Times New Roman" w:cs="Times New Roman" w:hAnsi="Times New Roman"/>
          <w:b/>
          <w:spacing w:val="0"/>
          <w:sz w:val="29"/>
        </w:rPr>
        <w:t>Region and domain category:</w:t>
      </w:r>
      <w:r>
        <w:rPr>
          <w:rFonts w:ascii="Times New Roman" w:cs="Times New Roman" w:hAnsi="Times New Roman"/>
          <w:spacing w:val="0"/>
          <w:sz w:val="29"/>
        </w:rPr>
        <w:t xml:space="preserve"> Macao SAR, China — tourism economics and the cost of living.</w:t>
      </w:r>
      <w:bookmarkStart w:id="0" w:name="_GoBack"/>
      <w:bookmarkEnd w:id="0"/>
    </w:p>
    <w:p ns2:paraId="0F40F80D">
      <w:pPr>
        <w:spacing w:after="133"/>
        <w:jc w:val="both"/>
      </w:pPr>
      <w:r>
        <w:rPr>
          <w:rFonts w:ascii="Times New Roman" w:cs="Times New Roman" w:hAnsi="Times New Roman"/>
          <w:b/>
          <w:spacing w:val="0"/>
          <w:sz w:val="29"/>
        </w:rPr>
        <w:t>Research question:</w:t>
      </w:r>
      <w:r>
        <w:rPr>
          <w:rFonts w:ascii="Times New Roman" w:cs="Times New Roman" w:hAnsi="Times New Roman"/>
          <w:spacing w:val="0"/>
          <w:sz w:val="29"/>
        </w:rPr>
        <w:t xml:space="preserve"> To what extent are surges in visitor arrivals associated with changes in Macao’s Composite Consumer Price Index (CPI) between January 2010 and December 2025?</w:t>
      </w:r>
    </w:p>
    <w:p ns2:paraId="0EAD3DCE">
      <w:pPr>
        <w:spacing w:after="133"/>
        <w:jc w:val="both"/>
        <w:rPr>
          <w:rFonts w:ascii="Times New Roman" w:cs="Times New Roman" w:hAnsi="Times New Roman"/>
          <w:spacing w:val="0"/>
          <w:sz w:val="29"/>
        </w:rPr>
      </w:pPr>
      <w:r>
        <w:rPr>
          <w:rFonts w:ascii="Times New Roman" w:cs="Times New Roman" w:hAnsi="Times New Roman"/>
          <w:spacing w:val="0"/>
          <w:sz w:val="29"/>
        </w:rPr>
        <w:t xml:space="preserve">We chose this topic because the tension is easy to feel in daily life in Macao but surprisingly hard to see in the data. For this preliminary stage we use monthly visitor arrivals as a proxy for tourism pressure and the Composite CPI as a proxy for the cost-of-living pressure on residents. </w:t>
      </w:r>
    </w:p>
    <w:p ns2:paraId="379432EB">
      <w:pPr>
        <w:spacing w:after="133"/>
        <w:jc w:val="both"/>
      </w:pPr>
      <w:r>
        <w:rPr>
          <w:rFonts w:ascii="Times New Roman" w:cs="Times New Roman" w:hAnsi="Times New Roman"/>
          <w:spacing w:val="0"/>
          <w:sz w:val="29"/>
        </w:rPr>
        <w:t>A first look at the data already makes the question more interesting. Visitor arrivals swing sharply with the seasons — Chinese New Year, summer holidays and Golden Week run hot, other months run quiet — yet the Composite CPI climbs steadily and almost never gives ground. Even during COVID-19, when visitors nearly disappeared, prices did not fall back. To us that points to strong price stickiness in Macao, so the real puzzle is not simply “do tourists raise prices” but “where, when, and through which channels would such pressure even show up.”</w:t>
      </w:r>
    </w:p>
    <w:p ns2:paraId="05BD4419">
      <w:pPr>
        <w:spacing w:after="106"/>
      </w:pPr>
      <w:r>
        <w:rPr>
          <w:rFonts w:ascii="Times New Roman" w:cs="Times New Roman" w:hAnsi="Times New Roman"/>
          <w:b/>
          <w:spacing w:val="0"/>
          <w:sz w:val="32"/>
        </w:rPr>
        <w:t>2. Purpose</w:t>
      </w:r>
    </w:p>
    <w:p ns2:paraId="10D57E25">
      <w:pPr>
        <w:spacing w:after="133"/>
        <w:jc w:val="both"/>
        <w:rPr>
          <w:rFonts w:ascii="Times New Roman" w:cs="Times New Roman" w:hAnsi="Times New Roman" w:hint="eastAsia"/>
          <w:b/>
          <w:spacing w:val="0"/>
          <w:sz w:val="29"/>
          <w:lang w:eastAsia="zh-CN" w:val="en-US"/>
        </w:rPr>
      </w:pPr>
      <w:r>
        <w:rPr>
          <w:rFonts w:ascii="Times New Roman" w:cs="Times New Roman" w:hAnsi="Times New Roman"/>
          <w:b/>
          <w:spacing w:val="0"/>
          <w:sz w:val="29"/>
        </w:rPr>
        <w:t>Outcomes</w:t>
      </w:r>
      <w:r>
        <w:rPr>
          <w:rFonts w:ascii="Times New Roman" w:cs="Times New Roman" w:hAnsi="Times New Roman" w:hint="eastAsia"/>
          <w:b/>
          <w:spacing w:val="0"/>
          <w:sz w:val="29"/>
          <w:lang w:eastAsia="zh-CN" w:val="en-US"/>
        </w:rPr>
        <w:t>:</w:t>
      </w:r>
    </w:p>
    <w:p ns2:paraId="2EF8E414">
      <w:pPr>
        <w:spacing w:after="133"/>
        <w:jc w:val="both"/>
      </w:pPr>
      <w:r>
        <w:rPr>
          <w:rFonts w:ascii="Times New Roman" w:cs="Times New Roman" w:hAnsi="Times New Roman"/>
          <w:spacing w:val="0"/>
          <w:sz w:val="29"/>
        </w:rPr>
        <w:t>This project connects directly to the course learning outcomes on acquiring, cleaning, analysing and visualising real-world data, and on telling an honest story with it. For our group it is also useful practice for the kind of applied data work we expect to do after graduation — taking a messy public dataset, asking a question people care about, and resisting the temptation to overclaim.</w:t>
      </w:r>
    </w:p>
    <w:p ns2:paraId="6ABE080C">
      <w:pPr>
        <w:spacing w:after="133"/>
        <w:jc w:val="both"/>
      </w:pPr>
      <w:r>
        <w:rPr>
          <w:rFonts w:ascii="Times New Roman" w:cs="Times New Roman" w:hAnsi="Times New Roman"/>
          <w:b/>
          <w:spacing w:val="0"/>
          <w:sz w:val="29"/>
        </w:rPr>
        <w:t>Skills:</w:t>
      </w:r>
    </w:p>
    <w:p ns2:paraId="7CB60BCF">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Extracting and cleaning government Excel exports (mixed date formats, multi-row headers, footnotes that break parsing);</w:t>
      </w:r>
    </w:p>
    <w:p ns2:paraId="33F3CF32">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Merging monthly time series and engineering meaningful features such as period labels and annual aggregates;</w:t>
      </w:r>
    </w:p>
    <w:p ns2:paraId="68D5A55D">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Writing a justification that links each figure to the research question.</w:t>
      </w:r>
    </w:p>
    <w:p ns2:paraId="0BDC74CF">
      <w:pPr>
        <w:spacing w:after="133"/>
        <w:jc w:val="both"/>
        <w:rPr>
          <w:rFonts w:ascii="Times New Roman" w:cs="Times New Roman" w:hAnsi="Times New Roman"/>
          <w:spacing w:val="0"/>
          <w:sz w:val="29"/>
        </w:rPr>
      </w:pPr>
      <w:r>
        <w:rPr>
          <w:rFonts w:ascii="Times New Roman" w:cs="Times New Roman" w:hAnsi="Times New Roman"/>
          <w:b/>
          <w:spacing w:val="0"/>
          <w:sz w:val="29"/>
        </w:rPr>
        <w:t>Knowledge:</w:t>
      </w:r>
      <w:r>
        <w:rPr>
          <w:rFonts w:ascii="Times New Roman" w:cs="Times New Roman" w:hAnsi="Times New Roman"/>
          <w:spacing w:val="0"/>
          <w:sz w:val="29"/>
        </w:rPr>
        <w:t xml:space="preserve"> </w:t>
      </w:r>
    </w:p>
    <w:p ns2:paraId="1CCCD216">
      <w:pPr>
        <w:spacing w:after="133"/>
        <w:jc w:val="both"/>
        <w:rPr>
          <w:rFonts w:eastAsia="宋体" w:hint="eastAsia"/>
          <w:lang w:eastAsia="zh-CN" w:val="en-US"/>
        </w:rPr>
      </w:pPr>
      <w:r>
        <w:rPr>
          <w:rFonts w:ascii="Times New Roman" w:cs="Times New Roman" w:hAnsi="Times New Roman" w:hint="eastAsia"/>
          <w:spacing w:val="0"/>
          <w:sz w:val="29"/>
          <w:lang w:eastAsia="zh-CN" w:val="en-US"/>
        </w:rPr>
        <w:t>T</w:t>
      </w:r>
      <w:r>
        <w:rPr>
          <w:rFonts w:ascii="Times New Roman" w:cs="Times New Roman" w:hAnsi="Times New Roman"/>
          <w:spacing w:val="0"/>
          <w:sz w:val="29"/>
        </w:rPr>
        <w:t>he difference between a price index level and an inflation rate; what a Laspeyres-type CPI basket does and does not capture about residents’ lives; seasonality and structural breaks in tourism data</w:t>
      </w:r>
      <w:r>
        <w:rPr>
          <w:rFonts w:ascii="Times New Roman" w:cs="Times New Roman" w:hAnsi="Times New Roman" w:hint="eastAsia"/>
          <w:spacing w:val="0"/>
          <w:sz w:val="29"/>
          <w:lang w:eastAsia="zh-CN" w:val="en-US"/>
        </w:rPr>
        <w:t>.</w:t>
      </w:r>
    </w:p>
    <w:p ns2:paraId="6C8718A6">
      <w:pPr>
        <w:spacing w:after="106"/>
      </w:pPr>
      <w:r>
        <w:rPr>
          <w:rFonts w:ascii="Times New Roman" w:cs="Times New Roman" w:hAnsi="Times New Roman"/>
          <w:b/>
          <w:spacing w:val="0"/>
          <w:sz w:val="32"/>
        </w:rPr>
        <w:t>3. Data Sources</w:t>
      </w:r>
    </w:p>
    <w:p ns2:paraId="5B654C5B">
      <w:pPr>
        <w:spacing w:after="133"/>
        <w:jc w:val="both"/>
        <w:rPr>
          <w:rFonts w:ascii="Times New Roman" w:cs="Times New Roman" w:hAnsi="Times New Roman"/>
          <w:spacing w:val="0"/>
          <w:sz w:val="29"/>
        </w:rPr>
      </w:pPr>
      <w:r>
        <w:t>The project uses three predefined reports from the Statistics and Census Service (DSEC) Time Series Database of the Macao SAR Government. They are freely accessible through the following links.</w:t>
      </w:r>
    </w:p>
    <w:tbl>
      <w:tblPr>
        <w:tblStyle w:val="3"/>
        <w:tblW w:type="dxa" w:w="9060"/>
        <w:jc w:val="center"/>
        <w:tblCellSpacing w:type="dxa" w:w="15"/>
        <w:tblBorders>
          <w:top w:color="auto" w:space="0" w:sz="0" w:val="none"/>
          <w:left w:color="auto" w:space="0" w:sz="0" w:val="none"/>
          <w:bottom w:color="auto" w:space="0" w:sz="0" w:val="none"/>
          <w:right w:color="auto" w:space="0" w:sz="0" w:val="none"/>
          <w:insideH w:color="auto" w:space="0" w:sz="4" w:val="single"/>
          <w:insideV w:color="auto" w:space="0" w:sz="0" w:val="none"/>
        </w:tblBorders>
        <w:shd w:color="auto" w:fill="auto" w:val="clear"/>
        <w:tblLayout w:type="fixed"/>
        <w:tblCellMar>
          <w:top w:type="dxa" w:w="15"/>
          <w:left w:type="dxa" w:w="15"/>
          <w:bottom w:type="dxa" w:w="15"/>
          <w:right w:type="dxa" w:w="15"/>
        </w:tblCellMar>
      </w:tblPr>
      <w:tblGrid>
        <w:gridCol w:w="2020"/>
        <w:gridCol w:w="3400"/>
        <w:gridCol w:w="3640"/>
      </w:tblGrid>
      <w:tr ns2:paraId="31F0BA33">
        <w:trPr>
          <w:trHeight w:hRule="atLeast" w:val="0"/>
          <w:tblHeader/>
          <w:tblCellSpacing w:type="dxa" w:w="15"/>
          <w:jc w:val="center"/>
        </w:trPr>
        <w:tc>
          <w:tcPr>
            <w:tcW w:type="dxa" w:w="1975"/>
            <w:tcBorders>
              <w:top w:color="000000" w:space="0" w:sz="12" w:val="single"/>
              <w:left w:val="nil"/>
              <w:bottom w:color="000000" w:space="0" w:sz="4" w:val="single"/>
              <w:right w:val="nil"/>
              <w:tl2br w:val="nil"/>
            </w:tcBorders>
            <w:shd w:color="auto" w:fill="FFFFFF" w:val="clear"/>
            <w:noWrap w:val="0"/>
            <w:tcMar>
              <w:top w:type="dxa" w:w="120"/>
              <w:left w:type="dxa" w:w="180"/>
              <w:bottom w:type="dxa" w:w="120"/>
              <w:right w:type="dxa" w:w="180"/>
            </w:tcMar>
            <w:vAlign w:val="center"/>
          </w:tcPr>
          <w:p ns2:paraId="5EDE2C6C">
            <w:pPr>
              <w:keepNext/>
              <w:keepLines w:val="0"/>
              <w:widowControl/>
              <w:suppressLineNumbers w:val="0"/>
              <w:snapToGrid w:val="0"/>
              <w:spacing w:before="0" w:beforeAutospacing="0" w:line="240" w:lineRule="auto"/>
              <w:ind w:firstLine="0" w:firstLineChars="0" w:left="0" w:leftChars="0" w:right="0" w:rightChars="0"/>
              <w:jc w:val="center"/>
              <w:rPr>
                <w:rFonts w:ascii="sans-serif" w:cs="sans-serif" w:eastAsia="sans-serif" w:hAnsi="sans-serif"/>
                <w:b/>
                <w:bCs/>
                <w:color w:val="000000"/>
                <w:sz w:val="24"/>
              </w:rPr>
            </w:pPr>
            <w:r>
              <w:rPr>
                <w:rStyle w:val="5"/>
                <w:rFonts w:ascii="sans-serif" w:cs="sans-serif" w:eastAsia="sans-serif" w:hAnsi="sans-serif" w:hint="default"/>
                <w:b/>
                <w:bCs/>
                <w:color w:val="000000"/>
                <w:kern w:val="0"/>
                <w:sz w:val="24"/>
                <w:szCs w:val="24"/>
                <w:lang w:bidi="ar" w:eastAsia="zh-CN" w:val="en-US"/>
              </w:rPr>
              <w:t>Dataset</w:t>
            </w:r>
          </w:p>
        </w:tc>
        <w:tc>
          <w:tcPr>
            <w:tcW w:type="dxa" w:w="3370"/>
            <w:tcBorders>
              <w:top w:color="000000" w:space="0" w:sz="12" w:val="single"/>
              <w:left w:val="nil"/>
              <w:bottom w:color="000000" w:space="0" w:sz="4" w:val="single"/>
              <w:right w:val="nil"/>
            </w:tcBorders>
            <w:shd w:color="auto" w:fill="FFFFFF" w:val="clear"/>
            <w:noWrap w:val="0"/>
            <w:tcMar>
              <w:top w:type="dxa" w:w="120"/>
              <w:left w:type="dxa" w:w="180"/>
              <w:bottom w:type="dxa" w:w="120"/>
              <w:right w:type="dxa" w:w="180"/>
            </w:tcMar>
            <w:vAlign w:val="center"/>
          </w:tcPr>
          <w:p ns2:paraId="53B4A68D">
            <w:pPr>
              <w:keepNext/>
              <w:keepLines w:val="0"/>
              <w:widowControl/>
              <w:suppressLineNumbers w:val="0"/>
              <w:snapToGrid w:val="0"/>
              <w:spacing w:before="0" w:beforeAutospacing="0" w:line="240" w:lineRule="auto"/>
              <w:ind w:firstLine="0" w:firstLineChars="0" w:left="0" w:leftChars="0" w:right="0" w:rightChars="0"/>
              <w:jc w:val="center"/>
              <w:rPr>
                <w:rFonts w:ascii="sans-serif" w:cs="sans-serif" w:eastAsia="sans-serif" w:hAnsi="sans-serif" w:hint="default"/>
                <w:b/>
                <w:bCs/>
                <w:color w:val="000000"/>
                <w:sz w:val="24"/>
              </w:rPr>
            </w:pPr>
            <w:r>
              <w:rPr>
                <w:rStyle w:val="5"/>
                <w:rFonts w:ascii="sans-serif" w:cs="sans-serif" w:eastAsia="sans-serif" w:hAnsi="sans-serif" w:hint="default"/>
                <w:b/>
                <w:bCs/>
                <w:color w:val="000000"/>
                <w:kern w:val="0"/>
                <w:sz w:val="24"/>
                <w:szCs w:val="24"/>
                <w:lang w:bidi="ar" w:eastAsia="zh-CN" w:val="en-US"/>
              </w:rPr>
              <w:t>Sourceandlink</w:t>
            </w:r>
          </w:p>
        </w:tc>
        <w:tc>
          <w:tcPr>
            <w:tcW w:type="dxa" w:w="3595"/>
            <w:tcBorders>
              <w:top w:color="000000" w:space="0" w:sz="12" w:val="single"/>
              <w:left w:val="nil"/>
              <w:bottom w:color="000000" w:space="0" w:sz="4" w:val="single"/>
              <w:right w:val="nil"/>
            </w:tcBorders>
            <w:shd w:color="auto" w:fill="FFFFFF" w:val="clear"/>
            <w:noWrap w:val="0"/>
            <w:tcMar>
              <w:top w:type="dxa" w:w="120"/>
              <w:left w:type="dxa" w:w="180"/>
              <w:bottom w:type="dxa" w:w="120"/>
              <w:right w:type="dxa" w:w="180"/>
            </w:tcMar>
            <w:vAlign w:val="center"/>
          </w:tcPr>
          <w:p ns2:paraId="4B38371D">
            <w:pPr>
              <w:keepNext/>
              <w:keepLines w:val="0"/>
              <w:widowControl/>
              <w:suppressLineNumbers w:val="0"/>
              <w:snapToGrid w:val="0"/>
              <w:spacing w:before="0" w:beforeAutospacing="0" w:line="240" w:lineRule="auto"/>
              <w:ind w:firstLine="0" w:firstLineChars="0" w:left="0" w:leftChars="0" w:right="0" w:rightChars="0"/>
              <w:jc w:val="center"/>
              <w:rPr>
                <w:rFonts w:ascii="sans-serif" w:cs="sans-serif" w:eastAsia="sans-serif" w:hAnsi="sans-serif" w:hint="default"/>
                <w:b/>
                <w:bCs/>
                <w:color w:val="000000"/>
                <w:sz w:val="24"/>
              </w:rPr>
            </w:pPr>
            <w:r>
              <w:rPr>
                <w:rStyle w:val="5"/>
                <w:rFonts w:ascii="sans-serif" w:cs="sans-serif" w:eastAsia="sans-serif" w:hAnsi="sans-serif" w:hint="default"/>
                <w:b/>
                <w:bCs/>
                <w:color w:val="000000"/>
                <w:kern w:val="0"/>
                <w:sz w:val="24"/>
                <w:szCs w:val="24"/>
                <w:lang w:bidi="ar" w:eastAsia="zh-CN" w:val="en-US"/>
              </w:rPr>
              <w:t>Keyfields/coverage</w:t>
            </w:r>
          </w:p>
        </w:tc>
      </w:tr>
      <w:tr ns2:paraId="55564D48">
        <w:trPr>
          <w:trHeight w:hRule="atLeast" w:val="1523"/>
          <w:tblCellSpacing w:type="dxa" w:w="15"/>
          <w:jc w:val="center"/>
        </w:trPr>
        <w:tc>
          <w:tcPr>
            <w:tcW w:type="dxa" w:w="1975"/>
            <w:tcBorders>
              <w:top w:color="000000" w:space="0" w:sz="4" w:val="single"/>
              <w:left w:val="nil"/>
              <w:right w:val="nil"/>
            </w:tcBorders>
            <w:shd w:color="auto" w:fill="FFFFFF" w:val="clear"/>
            <w:noWrap w:val="0"/>
            <w:tcMar>
              <w:top w:type="dxa" w:w="120"/>
              <w:left w:type="dxa" w:w="180"/>
              <w:bottom w:type="dxa" w:w="120"/>
              <w:right w:type="dxa" w:w="180"/>
            </w:tcMar>
            <w:vAlign w:val="center"/>
          </w:tcPr>
          <w:p>
            <w:r>
              <w:t>Visitor arrivals by mode of transport (monthly)</w:t>
            </w:r>
          </w:p>
        </w:tc>
        <w:tc>
          <w:tcPr>
            <w:tcW w:type="dxa" w:w="3370"/>
            <w:tcBorders>
              <w:top w:color="000000" w:space="0" w:sz="4" w:val="single"/>
              <w:left w:val="nil"/>
              <w:right w:val="nil"/>
            </w:tcBorders>
            <w:shd w:color="auto" w:fill="FFFFFF" w:val="clear"/>
            <w:noWrap w:val="0"/>
            <w:tcMar>
              <w:top w:type="dxa" w:w="120"/>
              <w:left w:type="dxa" w:w="180"/>
              <w:bottom w:type="dxa" w:w="120"/>
              <w:right w:type="dxa" w:w="180"/>
            </w:tcMar>
            <w:vAlign w:val="center"/>
          </w:tcPr>
          <w:p>
            <w:r>
              <w:t>DSEC Time Series Database</w:t>
            </w:r>
          </w:p>
          <w:p>
            <w:hyperlink r:id="rId100">
              <w:r>
                <w:rPr>
                  <w:color w:val="0563C1"/>
                  <w:u w:val="single"/>
                </w:rPr>
                <w:t>https://www.dsec.gov.mo/ts/#!/step2/PredefinedReport/en-US/18</w:t>
              </w:r>
            </w:hyperlink>
          </w:p>
        </w:tc>
        <w:tc>
          <w:tcPr>
            <w:tcW w:type="dxa" w:w="3595"/>
            <w:tcBorders>
              <w:top w:color="000000" w:space="0" w:sz="4" w:val="single"/>
              <w:left w:val="nil"/>
              <w:right w:val="nil"/>
            </w:tcBorders>
            <w:shd w:color="auto" w:fill="FFFFFF" w:val="clear"/>
            <w:noWrap w:val="0"/>
            <w:tcMar>
              <w:top w:type="dxa" w:w="120"/>
              <w:left w:type="dxa" w:w="180"/>
              <w:bottom w:type="dxa" w:w="120"/>
              <w:right w:type="dxa" w:w="180"/>
            </w:tcMar>
            <w:vAlign w:val="center"/>
          </w:tcPr>
          <w:p>
            <w:r>
              <w:t>Period; total arrivals (persons); arrivals by sea, land and air. We use Jan 2010–Dec 2025. Excludes non-resident workers, students and other non-visitors.</w:t>
            </w:r>
          </w:p>
        </w:tc>
      </w:tr>
      <w:tr ns2:paraId="4800A2A5">
        <w:trPr>
          <w:trHeight w:hRule="atLeast" w:val="0"/>
          <w:tblCellSpacing w:type="dxa" w:w="15"/>
          <w:jc w:val="center"/>
        </w:trPr>
        <w:tc>
          <w:tcPr>
            <w:tcW w:type="dxa" w:w="1975"/>
            <w:tcBorders>
              <w:left w:val="nil"/>
              <w:right w:val="nil"/>
            </w:tcBorders>
            <w:shd w:color="auto" w:fill="FFFFFF" w:val="clear"/>
            <w:noWrap w:val="0"/>
            <w:tcMar>
              <w:top w:type="dxa" w:w="120"/>
              <w:left w:type="dxa" w:w="180"/>
              <w:bottom w:type="dxa" w:w="120"/>
              <w:right w:type="dxa" w:w="180"/>
            </w:tcMar>
            <w:vAlign w:val="center"/>
          </w:tcPr>
          <w:p>
            <w:r>
              <w:t>Composite Consumer Price Index of main sections of goods and services (monthly)</w:t>
            </w:r>
          </w:p>
        </w:tc>
        <w:tc>
          <w:tcPr>
            <w:tcW w:type="dxa" w:w="3370"/>
            <w:tcBorders>
              <w:left w:val="nil"/>
              <w:right w:val="nil"/>
            </w:tcBorders>
            <w:shd w:color="auto" w:fill="FFFFFF" w:val="clear"/>
            <w:noWrap w:val="0"/>
            <w:tcMar>
              <w:top w:type="dxa" w:w="120"/>
              <w:left w:type="dxa" w:w="180"/>
              <w:bottom w:type="dxa" w:w="120"/>
              <w:right w:type="dxa" w:w="180"/>
            </w:tcMar>
            <w:vAlign w:val="center"/>
          </w:tcPr>
          <w:p>
            <w:r>
              <w:t>DSEC Time Series Database</w:t>
            </w:r>
          </w:p>
          <w:p>
            <w:hyperlink r:id="rId101">
              <w:r>
                <w:rPr>
                  <w:color w:val="0563C1"/>
                  <w:u w:val="single"/>
                </w:rPr>
                <w:t>https://www.dsec.gov.mo/ts/#!/step2/PredefinedReport/en-US/14</w:t>
              </w:r>
            </w:hyperlink>
          </w:p>
        </w:tc>
        <w:tc>
          <w:tcPr>
            <w:tcW w:type="dxa" w:w="3595"/>
            <w:tcBorders>
              <w:left w:val="nil"/>
              <w:right w:val="nil"/>
            </w:tcBorders>
            <w:shd w:color="auto" w:fill="FFFFFF" w:val="clear"/>
            <w:noWrap w:val="0"/>
            <w:tcMar>
              <w:top w:type="dxa" w:w="120"/>
              <w:left w:type="dxa" w:w="180"/>
              <w:bottom w:type="dxa" w:w="120"/>
              <w:right w:type="dxa" w:w="180"/>
            </w:tcMar>
            <w:vAlign w:val="center"/>
          </w:tcPr>
          <w:p>
            <w:r>
              <w:t>Period; Composite CPI and index points for 11 sections of goods and services. We use Jan 2010–Dec 2025 for the CPI-section analysis.</w:t>
            </w:r>
          </w:p>
        </w:tc>
      </w:tr>
      <w:tr ns2:paraId="738CB546">
        <w:trPr>
          <w:trHeight w:hRule="atLeast" w:val="0"/>
          <w:tblCellSpacing w:type="dxa" w:w="15"/>
          <w:jc w:val="center"/>
        </w:trPr>
        <w:tc>
          <w:tcPr>
            <w:tcW w:type="dxa" w:w="1975"/>
            <w:tcBorders>
              <w:left w:val="nil"/>
              <w:bottom w:color="000000" w:space="0" w:sz="12" w:val="single"/>
              <w:right w:val="nil"/>
            </w:tcBorders>
            <w:shd w:color="auto" w:fill="FFFFFF" w:val="clear"/>
            <w:noWrap w:val="0"/>
            <w:tcMar>
              <w:top w:type="dxa" w:w="120"/>
              <w:left w:type="dxa" w:w="180"/>
              <w:bottom w:type="dxa" w:w="120"/>
              <w:right w:type="dxa" w:w="180"/>
            </w:tcMar>
            <w:vAlign w:val="center"/>
          </w:tcPr>
          <w:p>
            <w:r>
              <w:t>Composite Consumer Price Index, CPI (A) and CPI (B) (monthly)</w:t>
            </w:r>
          </w:p>
        </w:tc>
        <w:tc>
          <w:tcPr>
            <w:tcW w:type="dxa" w:w="3370"/>
            <w:tcBorders>
              <w:left w:val="nil"/>
              <w:bottom w:color="000000" w:space="0" w:sz="12" w:val="single"/>
              <w:right w:val="nil"/>
            </w:tcBorders>
            <w:shd w:color="auto" w:fill="FFFFFF" w:val="clear"/>
            <w:noWrap w:val="0"/>
            <w:tcMar>
              <w:top w:type="dxa" w:w="120"/>
              <w:left w:type="dxa" w:w="180"/>
              <w:bottom w:type="dxa" w:w="120"/>
              <w:right w:type="dxa" w:w="180"/>
            </w:tcMar>
            <w:vAlign w:val="center"/>
          </w:tcPr>
          <w:p>
            <w:r>
              <w:t>DSEC Time Series Database</w:t>
            </w:r>
          </w:p>
          <w:p>
            <w:hyperlink r:id="rId102">
              <w:r>
                <w:rPr>
                  <w:color w:val="0563C1"/>
                  <w:u w:val="single"/>
                </w:rPr>
                <w:t>https://www.dsec.gov.mo/ts/#!/step2/PredefinedReport/en-US/15</w:t>
              </w:r>
            </w:hyperlink>
          </w:p>
        </w:tc>
        <w:tc>
          <w:tcPr>
            <w:tcW w:type="dxa" w:w="3595"/>
            <w:tcBorders>
              <w:left w:val="nil"/>
              <w:bottom w:color="000000" w:space="0" w:sz="12" w:val="single"/>
              <w:right w:val="nil"/>
            </w:tcBorders>
            <w:shd w:color="auto" w:fill="FFFFFF" w:val="clear"/>
            <w:noWrap w:val="0"/>
            <w:tcMar>
              <w:top w:type="dxa" w:w="120"/>
              <w:left w:type="dxa" w:w="180"/>
              <w:bottom w:type="dxa" w:w="120"/>
              <w:right w:type="dxa" w:w="180"/>
            </w:tcMar>
            <w:vAlign w:val="center"/>
          </w:tcPr>
          <w:p>
            <w:r>
              <w:t>Period; headline Composite CPI index points, CPI (A) and CPI (B). We use Jan 2010–Dec 2025 for the main time-series analysis.</w:t>
            </w:r>
          </w:p>
        </w:tc>
      </w:tr>
    </w:tbl>
    <w:p ns2:paraId="5A6D7632">
      <w:pPr>
        <w:spacing w:after="106"/>
        <w:rPr>
          <w:rFonts w:ascii="Times New Roman" w:cs="Times New Roman" w:hAnsi="Times New Roman"/>
          <w:b/>
          <w:spacing w:val="0"/>
          <w:sz w:val="32"/>
        </w:rPr>
      </w:pPr>
    </w:p>
    <w:p ns2:paraId="2CE559A9">
      <w:pPr>
        <w:spacing w:after="106"/>
      </w:pPr>
      <w:r>
        <w:rPr>
          <w:rFonts w:ascii="Times New Roman" w:cs="Times New Roman" w:hAnsi="Times New Roman"/>
          <w:b/>
          <w:spacing w:val="0"/>
          <w:sz w:val="32"/>
        </w:rPr>
        <w:t>4. Tasks and Deliverables</w:t>
      </w:r>
    </w:p>
    <w:p ns2:paraId="1B1B5317">
      <w:pPr>
        <w:spacing w:after="133"/>
        <w:jc w:val="both"/>
      </w:pPr>
      <w:r>
        <w:rPr>
          <w:rFonts w:ascii="Times New Roman" w:cs="Times New Roman" w:hAnsi="Times New Roman"/>
          <w:spacing w:val="0"/>
          <w:sz w:val="29"/>
        </w:rPr>
        <w:t>The work breaks into concrete steps, most of which we have already prototyped in the accompanying notebook:</w:t>
      </w:r>
    </w:p>
    <w:p ns2:paraId="26DF2F9F">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b/>
          <w:sz w:val="29"/>
        </w:rPr>
        <w:tab/>
      </w:r>
      <w:r>
        <w:rPr>
          <w:rFonts w:ascii="Times New Roman" w:cs="Times New Roman" w:hAnsi="Times New Roman"/>
          <w:b/>
          <w:sz w:val="29"/>
        </w:rPr>
        <w:t>•</w:t>
      </w:r>
      <w:r>
        <w:rPr>
          <w:rFonts w:ascii="Times New Roman" w:cs="Times New Roman" w:hAnsi="Times New Roman"/>
          <w:b/>
          <w:sz w:val="29"/>
        </w:rPr>
        <w:tab/>
      </w:r>
      <w:r>
        <w:rPr>
          <w:rFonts w:ascii="Times New Roman" w:cs="Times New Roman" w:hAnsi="Times New Roman"/>
          <w:b/>
          <w:spacing w:val="0"/>
          <w:sz w:val="29"/>
        </w:rPr>
        <w:t>Verify and clean the data.</w:t>
      </w:r>
      <w:r>
        <w:rPr>
          <w:rFonts w:ascii="Times New Roman" w:cs="Times New Roman" w:hAnsi="Times New Roman"/>
          <w:spacing w:val="0"/>
          <w:sz w:val="29"/>
        </w:rPr>
        <w:t xml:space="preserve"> Parse the mixed period formats (“Jan./2010” vs “May/2010”), keep monthly rows only, and assert the merged table holds exactly 192 consecutive months with no duplicates or missing values.</w:t>
      </w:r>
    </w:p>
    <w:p ns2:paraId="473CB874">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b/>
          <w:sz w:val="29"/>
        </w:rPr>
        <w:tab/>
      </w:r>
      <w:r>
        <w:rPr>
          <w:rFonts w:ascii="Times New Roman" w:cs="Times New Roman" w:hAnsi="Times New Roman"/>
          <w:b/>
          <w:sz w:val="29"/>
        </w:rPr>
        <w:t>•</w:t>
      </w:r>
      <w:r>
        <w:rPr>
          <w:rFonts w:ascii="Times New Roman" w:cs="Times New Roman" w:hAnsi="Times New Roman"/>
          <w:b/>
          <w:sz w:val="29"/>
        </w:rPr>
        <w:tab/>
      </w:r>
      <w:r>
        <w:rPr>
          <w:rFonts w:ascii="Times New Roman" w:cs="Times New Roman" w:hAnsi="Times New Roman"/>
          <w:b/>
          <w:spacing w:val="0"/>
          <w:sz w:val="29"/>
        </w:rPr>
        <w:t>Engineer the analysis variables.</w:t>
      </w:r>
      <w:r>
        <w:rPr>
          <w:rFonts w:ascii="Times New Roman" w:cs="Times New Roman" w:hAnsi="Times New Roman"/>
          <w:spacing w:val="0"/>
          <w:sz w:val="29"/>
        </w:rPr>
        <w:t xml:space="preserve"> Label three periods — pre-COVID (2010–2019), COVID disruption (2020–2022), and post-COVID recovery (2023–2025) — and aggregate to annual averages.</w:t>
      </w:r>
    </w:p>
    <w:p ns2:paraId="11F989CD">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b/>
          <w:sz w:val="29"/>
        </w:rPr>
        <w:tab/>
      </w:r>
      <w:r>
        <w:rPr>
          <w:rFonts w:ascii="Times New Roman" w:cs="Times New Roman" w:hAnsi="Times New Roman"/>
          <w:b/>
          <w:sz w:val="29"/>
        </w:rPr>
        <w:t>•</w:t>
      </w:r>
      <w:r>
        <w:rPr>
          <w:rFonts w:ascii="Times New Roman" w:cs="Times New Roman" w:hAnsi="Times New Roman"/>
          <w:b/>
          <w:sz w:val="29"/>
        </w:rPr>
        <w:tab/>
      </w:r>
      <w:r>
        <w:rPr>
          <w:rFonts w:ascii="Times New Roman" w:cs="Times New Roman" w:hAnsi="Times New Roman"/>
          <w:b/>
          <w:spacing w:val="0"/>
          <w:sz w:val="29"/>
        </w:rPr>
        <w:t>Explore and visualise.</w:t>
      </w:r>
      <w:r>
        <w:rPr>
          <w:rFonts w:ascii="Times New Roman" w:cs="Times New Roman" w:hAnsi="Times New Roman"/>
          <w:spacing w:val="0"/>
          <w:sz w:val="29"/>
        </w:rPr>
        <w:t xml:space="preserve"> Stacked level panels on a shared time axis, a period-coloured scatter plot, annual averages, a Granger causality check on first-differenced series, and a CPI-section correlation comparison.</w:t>
      </w:r>
    </w:p>
    <w:p ns2:paraId="694DBC92">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b/>
          <w:sz w:val="29"/>
        </w:rPr>
        <w:tab/>
      </w:r>
      <w:r>
        <w:rPr>
          <w:rFonts w:ascii="Times New Roman" w:cs="Times New Roman" w:hAnsi="Times New Roman"/>
          <w:b/>
          <w:sz w:val="29"/>
        </w:rPr>
        <w:t>•</w:t>
      </w:r>
      <w:r>
        <w:rPr>
          <w:rFonts w:ascii="Times New Roman" w:cs="Times New Roman" w:hAnsi="Times New Roman"/>
          <w:b/>
          <w:sz w:val="29"/>
        </w:rPr>
        <w:tab/>
      </w:r>
      <w:r>
        <w:rPr>
          <w:rFonts w:ascii="Times New Roman" w:cs="Times New Roman" w:hAnsi="Times New Roman"/>
          <w:b/>
          <w:spacing w:val="0"/>
          <w:sz w:val="29"/>
        </w:rPr>
        <w:t>Interpret.</w:t>
      </w:r>
      <w:r>
        <w:rPr>
          <w:rFonts w:ascii="Times New Roman" w:cs="Times New Roman" w:hAnsi="Times New Roman"/>
          <w:spacing w:val="0"/>
          <w:sz w:val="29"/>
        </w:rPr>
        <w:t xml:space="preserve"> Report what the associations are and what they cannot show; flag the proxies and the confounders (global inflation, wages, rents, policy) explicitly.</w:t>
      </w:r>
    </w:p>
    <w:p ns2:paraId="6D2C96D8">
      <w:pPr>
        <w:keepNext w:val="0"/>
        <w:keepLines w:val="0"/>
        <w:pageBreakBefore w:val="0"/>
        <w:widowControl w:val="0"/>
        <w:kinsoku/>
        <w:wordWrap/>
        <w:overflowPunct/>
        <w:topLinePunct w:val="0"/>
        <w:autoSpaceDE/>
        <w:autoSpaceDN/>
        <w:bidi w:val="0"/>
        <w:adjustRightInd/>
        <w:snapToGrid/>
        <w:spacing w:after="53"/>
        <w:ind w:left="0"/>
        <w:textAlignment w:val="auto"/>
        <w:rPr>
          <w:rFonts w:ascii="Times New Roman Bold" w:cs="Times New Roman Bold" w:hAnsi="Times New Roman Bold" w:hint="eastAsia"/>
          <w:b/>
          <w:bCs/>
          <w:color w:val="FF0000"/>
          <w:spacing w:val="0"/>
          <w:sz w:val="29"/>
          <w:highlight w:val="yellow"/>
          <w:lang w:eastAsia="zh-CN"/>
        </w:rPr>
      </w:pPr>
      <w:r>
        <w:rPr>
          <w:rFonts w:ascii="Times New Roman" w:cs="Times New Roman" w:hAnsi="Times New Roman"/>
          <w:b/>
          <w:sz w:val="29"/>
        </w:rPr>
        <w:tab/>
      </w:r>
      <w:r>
        <w:rPr>
          <w:rFonts w:ascii="Times New Roman" w:cs="Times New Roman" w:hAnsi="Times New Roman"/>
          <w:b/>
          <w:sz w:val="29"/>
        </w:rPr>
        <w:t>•</w:t>
      </w:r>
      <w:r>
        <w:rPr>
          <w:rFonts w:ascii="Times New Roman" w:cs="Times New Roman" w:hAnsi="Times New Roman"/>
          <w:b/>
          <w:sz w:val="29"/>
        </w:rPr>
        <w:tab/>
      </w:r>
      <w:r>
        <w:rPr>
          <w:rFonts w:ascii="Times New Roman" w:cs="Times New Roman" w:hAnsi="Times New Roman"/>
          <w:b/>
          <w:spacing w:val="0"/>
          <w:sz w:val="29"/>
        </w:rPr>
        <w:t>Deliver.</w:t>
      </w:r>
      <w:r>
        <w:rPr>
          <w:rFonts w:ascii="Times New Roman" w:cs="Times New Roman" w:hAnsi="Times New Roman"/>
          <w:spacing w:val="0"/>
          <w:sz w:val="29"/>
        </w:rPr>
        <w:t xml:space="preserve"> </w:t>
      </w:r>
      <w:r>
        <w:rPr>
          <w:rFonts w:ascii="Times New Roman" w:cs="Times New Roman" w:hAnsi="Times New Roman" w:hint="eastAsia"/>
          <w:spacing w:val="0"/>
          <w:sz w:val="29"/>
        </w:rPr>
        <w:t>The complete project — including this proposal, the Jupyter notebook,</w:t>
      </w:r>
      <w:r>
        <w:rPr>
          <w:rFonts w:ascii="Times New Roman" w:cs="Times New Roman" w:hAnsi="Times New Roman" w:hint="eastAsia"/>
          <w:spacing w:val="0"/>
          <w:sz w:val="29"/>
          <w:lang w:eastAsia="zh-CN" w:val="en-US"/>
        </w:rPr>
        <w:t xml:space="preserve"> </w:t>
      </w:r>
      <w:r>
        <w:rPr>
          <w:rFonts w:ascii="Times New Roman" w:cs="Times New Roman" w:hAnsi="Times New Roman" w:hint="eastAsia"/>
          <w:spacing w:val="0"/>
          <w:sz w:val="29"/>
        </w:rPr>
        <w:t xml:space="preserve">the two source Excel files and all exported figures — </w:t>
      </w:r>
      <w:r>
        <w:rPr>
          <w:rFonts w:ascii="Times New Roman" w:cs="Times New Roman" w:hAnsi="Times New Roman" w:hint="default"/>
          <w:spacing w:val="0"/>
          <w:sz w:val="29"/>
        </w:rPr>
        <w:t>has been published</w:t>
      </w:r>
      <w:r>
        <w:rPr>
          <w:rFonts w:ascii="Times New Roman" w:cs="Times New Roman" w:hAnsi="Times New Roman" w:hint="default"/>
          <w:spacing w:val="0"/>
          <w:sz w:val="29"/>
          <w:lang w:eastAsia="zh-CN" w:val="en-US"/>
        </w:rPr>
        <w:t xml:space="preserve"> </w:t>
      </w:r>
      <w:r>
        <w:rPr>
          <w:rFonts w:ascii="Times New Roman" w:cs="Times New Roman" w:hAnsi="Times New Roman" w:hint="default"/>
          <w:spacing w:val="0"/>
          <w:sz w:val="29"/>
        </w:rPr>
        <w:t>in a public GitHub repository:</w:t>
      </w:r>
      <w:r>
        <w:br/>
      </w:r>
      <w:hyperlink r:id="rId200">
        <w:r>
          <w:rPr>
            <w:color w:val="0563C1"/>
            <w:u w:val="single"/>
          </w:rPr>
          <w:t>https://github.com/wangcui92/CISC7204-MC641431-2026GitHub</w:t>
        </w:r>
      </w:hyperlink>
    </w:p>
    <w:p ns2:paraId="0E0FFA78">
      <w:pPr>
        <w:keepNext w:val="0"/>
        <w:keepLines w:val="0"/>
        <w:pageBreakBefore w:val="0"/>
        <w:widowControl w:val="0"/>
        <w:kinsoku/>
        <w:wordWrap/>
        <w:overflowPunct/>
        <w:topLinePunct w:val="0"/>
        <w:autoSpaceDE/>
        <w:autoSpaceDN/>
        <w:bidi w:val="0"/>
        <w:adjustRightInd/>
        <w:snapToGrid/>
        <w:spacing w:after="53"/>
        <w:ind w:left="0"/>
        <w:textAlignment w:val="auto"/>
        <w:rPr>
          <w:rFonts w:ascii="Times New Roman Bold" w:cs="Times New Roman Bold" w:hAnsi="Times New Roman Bold" w:hint="eastAsia"/>
          <w:b/>
          <w:bCs/>
          <w:color w:val="FF0000"/>
          <w:spacing w:val="0"/>
          <w:sz w:val="29"/>
          <w:highlight w:val="yellow"/>
          <w:lang w:eastAsia="zh-CN"/>
        </w:rPr>
      </w:pPr>
    </w:p>
    <w:p ns2:paraId="07F6E3A7">
      <w:pPr>
        <w:spacing w:after="106"/>
      </w:pPr>
      <w:r>
        <w:rPr>
          <w:rFonts w:ascii="Times New Roman" w:cs="Times New Roman" w:hAnsi="Times New Roman"/>
          <w:b/>
          <w:spacing w:val="0"/>
          <w:sz w:val="32"/>
        </w:rPr>
        <w:t>5. Planned Visualisation and Justification</w:t>
      </w:r>
    </w:p>
    <w:p ns2:paraId="2E2F2F13">
      <w:pPr>
        <w:spacing w:after="133"/>
        <w:jc w:val="center"/>
      </w:pPr>
    </w:p>
    <w:p ns2:paraId="0DEC5D34">
      <w:pPr>
        <w:jc w:val="center"/>
      </w:pPr>
      <w:r>
        <w:drawing>
          <ns4:inline distB="0" distL="0" distR="0" distT="0">
            <ns4:extent cx="5258435" cy="2191385"/>
            <ns4:effectExtent b="18415" l="0" r="24765" t="0"/>
            <ns4:docPr id="1" name="fig1"/>
            <ns4:cNvGraphicFramePr/>
            <ns5:graphic>
              <ns5:graphicData uri="http://schemas.openxmlformats.org/drawingml/2006/picture">
                <ns6:pic>
                  <ns6:nvPicPr>
                    <ns6:cNvPr id="1" name="fig1"/>
                    <ns6:cNvPicPr/>
                  </ns6:nvPicPr>
                  <ns6:blipFill>
                    <ns5:blip r:embed="rId4"/>
                    <ns5:stretch>
                      <ns5:fillRect/>
                    </ns5:stretch>
                  </ns6:blipFill>
                  <ns6:spPr>
                    <ns5:xfrm>
                      <ns5:off x="0" y="0"/>
                      <ns5:ext cx="5258435" cy="2191385"/>
                    </ns5:xfrm>
                    <ns5:prstGeom prst="rect">
                      <ns5:avLst/>
                    </ns5:prstGeom>
                  </ns6:spPr>
                </ns6:pic>
              </ns5:graphicData>
            </ns5:graphic>
          </ns4:inline>
        </w:drawing>
      </w:r>
    </w:p>
    <w:p ns2:paraId="5F011297">
      <w:pPr>
        <w:spacing w:after="133"/>
        <w:jc w:val="center"/>
      </w:pPr>
      <w:r>
        <w:rPr>
          <w:rFonts w:ascii="Times New Roman" w:cs="Times New Roman" w:hAnsi="Times New Roman"/>
          <w:color w:val="343434"/>
          <w:spacing w:val="0"/>
          <w:sz w:val="24"/>
        </w:rPr>
        <w:t>Preview figure: monthly visitor arrivals (top) and Composite CPI (bottom) on a shared time axis, Macao, 2010–2025. Grey band marks the COVID-19 disruption.</w:t>
      </w:r>
    </w:p>
    <w:p ns2:paraId="40788D6D">
      <w:pPr>
        <w:spacing w:after="133"/>
        <w:jc w:val="both"/>
      </w:pPr>
      <w:r>
        <w:rPr>
          <w:rFonts w:ascii="Times New Roman" w:cs="Times New Roman" w:hAnsi="Times New Roman"/>
          <w:spacing w:val="0"/>
          <w:sz w:val="29"/>
        </w:rPr>
        <w:t>The preview figure above is the piece of the project that most directly answers our research question, and it is the one we intend to refine for the final report. Plotting the two series in stacked panels that share one time axis lets a reader judge, at a glance, whether swings in arrivals line up with swings in prices. What the chart shows is striking and slightly counter-intuitive: arrivals collapse almost to zero in 2020–2022, yet the CPI line hardly flinches — it bottoms out around 97 in late 2020, roughly its pre-COVID level, and then keeps climbing past 100 by 2023.</w:t>
      </w:r>
    </w:p>
    <w:p ns2:paraId="1EBFE89C">
      <w:pPr>
        <w:spacing w:after="133"/>
        <w:jc w:val="both"/>
      </w:pPr>
      <w:r>
        <w:rPr>
          <w:rFonts w:ascii="Times New Roman" w:cs="Times New Roman" w:hAnsi="Times New Roman"/>
          <w:spacing w:val="0"/>
          <w:sz w:val="29"/>
        </w:rPr>
        <w:t>In the final version, this figure will be paired with a scatter plot that colours the same two series by period (pre-COVID, COVID, post-COVID) so the effect of the pandemic break is visible rather than buried in a single correlation coefficient. Read together: Macao’s consumer prices appear highly sticky — they rise in peak tourist seasons but do not come back down in quiet ones, and they kept rising even when arrivals nearly stopped. That suggests the “carrying capacity” cost borne by residents is less about month-to-month inflation and more about a persistently elevated price level, supported by structural factors like wages, rental contracts and supply-chain costs.</w:t>
      </w:r>
    </w:p>
    <w:p ns2:paraId="49B182F5">
      <w:pPr>
        <w:spacing w:after="106"/>
      </w:pPr>
      <w:r>
        <w:rPr>
          <w:rFonts w:ascii="Times New Roman" w:cs="Times New Roman" w:hAnsi="Times New Roman"/>
          <w:b/>
          <w:spacing w:val="0"/>
          <w:sz w:val="32"/>
        </w:rPr>
        <w:t>6. Criteria for Success</w:t>
      </w:r>
    </w:p>
    <w:p ns2:paraId="64CCF685">
      <w:pPr>
        <w:spacing w:after="133"/>
        <w:jc w:val="both"/>
      </w:pPr>
      <w:r>
        <w:rPr>
          <w:rFonts w:ascii="Times New Roman" w:cs="Times New Roman" w:hAnsi="Times New Roman"/>
          <w:spacing w:val="0"/>
          <w:sz w:val="29"/>
        </w:rPr>
        <w:t>We will judge the finished product against the following checklist, which doubles as a simple rubric:</w:t>
      </w:r>
    </w:p>
    <w:p ns2:paraId="5A4419B2">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The merged dataset covers exactly 192 consecutive months (Jan 2010 – Dec 2025) with no gaps, duplicates or missing values;</w:t>
      </w:r>
    </w:p>
    <w:p ns2:paraId="7E1DF276">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Both data links are publicly accessible and match the files used;</w:t>
      </w:r>
    </w:p>
    <w:p ns2:paraId="4F53AE6E">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Every figure has a clear title, labelled axes with units, a source note, and a stated role in answering the research question;</w:t>
      </w:r>
    </w:p>
    <w:p ns2:paraId="5AE3123E">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Limitations — proxies, confounders, the COVID structural break — are stated in the document rather than left implicit;</w:t>
      </w:r>
    </w:p>
    <w:p ns2:paraId="47E18A66">
      <w:pPr>
        <w:keepNext w:val="0"/>
        <w:keepLines w:val="0"/>
        <w:pageBreakBefore w:val="0"/>
        <w:widowControl w:val="0"/>
        <w:kinsoku/>
        <w:wordWrap/>
        <w:overflowPunct/>
        <w:topLinePunct w:val="0"/>
        <w:autoSpaceDE/>
        <w:autoSpaceDN/>
        <w:bidi w:val="0"/>
        <w:adjustRightInd/>
        <w:snapToGrid/>
        <w:spacing w:after="53"/>
        <w:ind w:left="0"/>
        <w:textAlignment w:val="auto"/>
      </w:pPr>
      <w:r>
        <w:rPr>
          <w:rFonts w:ascii="Times New Roman" w:cs="Times New Roman" w:hAnsi="Times New Roman"/>
          <w:sz w:val="29"/>
        </w:rPr>
        <w:tab/>
      </w:r>
      <w:r>
        <w:rPr>
          <w:rFonts w:ascii="Times New Roman" w:cs="Times New Roman" w:hAnsi="Times New Roman"/>
          <w:sz w:val="29"/>
        </w:rPr>
        <w:t>•</w:t>
      </w:r>
      <w:r>
        <w:rPr>
          <w:rFonts w:ascii="Times New Roman" w:cs="Times New Roman" w:hAnsi="Times New Roman"/>
          <w:sz w:val="29"/>
        </w:rPr>
        <w:tab/>
      </w:r>
      <w:r>
        <w:rPr>
          <w:rFonts w:ascii="Times New Roman" w:cs="Times New Roman" w:hAnsi="Times New Roman"/>
          <w:spacing w:val="0"/>
          <w:sz w:val="29"/>
        </w:rPr>
        <w:t>The notebook runs top-to-bottom without errors and reproduces every figure and number quoted.</w:t>
      </w:r>
    </w:p>
    <w:p ns2:paraId="714026BB">
      <w:pPr>
        <w:spacing w:after="106"/>
      </w:pPr>
      <w:r>
        <w:rPr>
          <w:rFonts w:ascii="Times New Roman" w:cs="Times New Roman" w:hAnsi="Times New Roman"/>
          <w:b/>
          <w:spacing w:val="0"/>
          <w:sz w:val="32"/>
        </w:rPr>
        <w:t>7. Collaboration</w:t>
      </w:r>
    </w:p>
    <w:p ns2:paraId="5DA89586">
      <w:pPr>
        <w:keepNext w:val="0"/>
        <w:keepLines w:val="0"/>
        <w:widowControl/>
        <w:suppressLineNumbers w:val="0"/>
        <w:jc w:val="both"/>
        <w:rPr>
          <w:rFonts w:ascii="Times New Roman" w:cs="Times New Roman" w:eastAsia="宋体" w:hAnsi="Times New Roman"/>
          <w:spacing w:val="0"/>
          <w:kern w:val="0"/>
          <w:sz w:val="29"/>
          <w:szCs w:val="22"/>
        </w:rPr>
      </w:pPr>
      <w:r>
        <w:rPr>
          <w:rFonts w:ascii="Times New Roman" w:cs="Times New Roman" w:eastAsia="宋体" w:hAnsi="Times New Roman"/>
          <w:spacing w:val="0"/>
          <w:kern w:val="0"/>
          <w:sz w:val="29"/>
          <w:szCs w:val="22"/>
        </w:rPr>
        <w:t>This is a two-person group project jointly completed by WANG CUI</w:t>
      </w:r>
      <w:r>
        <w:rPr>
          <w:rFonts w:cs="Times New Roman" w:hint="eastAsia"/>
          <w:spacing w:val="0"/>
          <w:kern w:val="0"/>
          <w:sz w:val="29"/>
          <w:szCs w:val="22"/>
          <w:lang w:eastAsia="zh-CN" w:val="en-US"/>
        </w:rPr>
        <w:t>(MC641431)</w:t>
      </w:r>
      <w:r>
        <w:rPr>
          <w:rFonts w:ascii="Times New Roman" w:cs="Times New Roman" w:eastAsia="宋体" w:hAnsi="Times New Roman"/>
          <w:spacing w:val="0"/>
          <w:kern w:val="0"/>
          <w:sz w:val="29"/>
          <w:szCs w:val="22"/>
        </w:rPr>
        <w:t xml:space="preserve"> and LU YINHAI</w:t>
      </w:r>
      <w:r>
        <w:rPr>
          <w:rFonts w:cs="Times New Roman" w:hint="eastAsia"/>
          <w:spacing w:val="0"/>
          <w:kern w:val="0"/>
          <w:sz w:val="29"/>
          <w:szCs w:val="22"/>
          <w:lang w:eastAsia="zh-CN" w:val="en-US"/>
        </w:rPr>
        <w:t>(MC641724)</w:t>
      </w:r>
      <w:r>
        <w:rPr>
          <w:rFonts w:ascii="Times New Roman" w:cs="Times New Roman" w:eastAsia="宋体" w:hAnsi="Times New Roman"/>
          <w:spacing w:val="0"/>
          <w:kern w:val="0"/>
          <w:sz w:val="29"/>
          <w:szCs w:val="22"/>
        </w:rPr>
        <w:t>. We discussed and selected the research topic together, confirmed the data sources, agreed on the analytical framework, and jointly interpreted the main findings.</w:t>
      </w:r>
      <w:r>
        <w:rPr>
          <w:rFonts w:ascii="Times New Roman" w:cs="Times New Roman" w:eastAsia="宋体" w:hAnsi="Times New Roman"/>
          <w:spacing w:val="0"/>
          <w:kern w:val="0"/>
          <w:sz w:val="29"/>
          <w:szCs w:val="22"/>
          <w:lang w:eastAsia="zh-CN" w:val="en-US"/>
        </w:rPr>
        <w:t>The expected division of work is as follows:</w:t>
      </w:r>
    </w:p>
    <w:p ns2:paraId="7ECAECE8">
      <w:pPr>
        <w:pStyle w:val="2"/>
        <w:keepNext w:val="0"/>
        <w:keepLines w:val="0"/>
        <w:widowControl/>
        <w:suppressLineNumbers w:val="0"/>
        <w:jc w:val="both"/>
        <w:rPr>
          <w:rFonts w:ascii="Times New Roman" w:cs="Times New Roman" w:eastAsia="宋体" w:hAnsi="Times New Roman"/>
          <w:spacing w:val="0"/>
          <w:kern w:val="0"/>
          <w:sz w:val="29"/>
          <w:szCs w:val="22"/>
        </w:rPr>
      </w:pPr>
      <w:r>
        <w:rPr>
          <w:rFonts w:ascii="Times New Roman" w:cs="Times New Roman" w:eastAsia="宋体" w:hAnsi="Times New Roman"/>
          <w:spacing w:val="0"/>
          <w:kern w:val="0"/>
          <w:sz w:val="29"/>
          <w:szCs w:val="22"/>
        </w:rPr>
        <w:t>• WANG CUI — Progress Tracker. Responsible for checking the completeness and consistency of the merged dataset, refining the data analysis, optimizing and formatting the visualizations, and reviewing the time-series and Granger test results. Also drafted the project report, writing its main analysis, interpretations, and conclusions.</w:t>
      </w:r>
    </w:p>
    <w:p ns2:paraId="585CD511">
      <w:pPr>
        <w:pStyle w:val="2"/>
        <w:keepNext w:val="0"/>
        <w:keepLines w:val="0"/>
        <w:widowControl/>
        <w:suppressLineNumbers w:val="0"/>
        <w:jc w:val="both"/>
        <w:rPr>
          <w:rFonts w:ascii="Times New Roman" w:cs="Times New Roman" w:eastAsia="宋体" w:hAnsi="Times New Roman"/>
          <w:spacing w:val="0"/>
          <w:kern w:val="0"/>
          <w:sz w:val="29"/>
          <w:szCs w:val="22"/>
        </w:rPr>
      </w:pPr>
      <w:r>
        <w:rPr>
          <w:rFonts w:ascii="Times New Roman" w:cs="Times New Roman" w:eastAsia="宋体" w:hAnsi="Times New Roman"/>
          <w:spacing w:val="0"/>
          <w:kern w:val="0"/>
          <w:sz w:val="29"/>
          <w:szCs w:val="22"/>
        </w:rPr>
        <w:t>• LU YINHAI — Project Scribe. Responsible for developing the preliminary data processing workflow, including cleaning the mixed date formats. Generated the initial trend and scatter visualizations, conducted the CPI section correlation analysis and the initial Granger causality tests, and reviewed and revised the report.</w:t>
      </w:r>
    </w:p>
    <w:p ns2:paraId="4D3E0609">
      <w:pPr>
        <w:pStyle w:val="2"/>
        <w:keepNext w:val="0"/>
        <w:keepLines w:val="0"/>
        <w:widowControl/>
        <w:suppressLineNumbers w:val="0"/>
        <w:jc w:val="both"/>
        <w:rPr>
          <w:rFonts w:ascii="Times New Roman" w:cs="Times New Roman" w:eastAsia="宋体" w:hAnsi="Times New Roman"/>
          <w:spacing w:val="0"/>
          <w:kern w:val="0"/>
          <w:sz w:val="29"/>
          <w:szCs w:val="22"/>
        </w:rPr>
      </w:pPr>
      <w:r>
        <w:rPr>
          <w:rFonts w:ascii="Times New Roman" w:cs="Times New Roman" w:eastAsia="宋体" w:hAnsi="Times New Roman"/>
          <w:spacing w:val="0"/>
          <w:kern w:val="0"/>
          <w:sz w:val="29"/>
          <w:szCs w:val="22"/>
        </w:rPr>
        <w:t>Both members reviewed the code notebook, statistical results, and visualizations. The final content, interpretations, and conclusions were discussed and agreed upon jointly by both members.</w:t>
      </w:r>
    </w:p>
    <w:p ns2:paraId="3F57BD93">
      <w:pPr>
        <w:pStyle w:val="2"/>
        <w:keepNext w:val="0"/>
        <w:keepLines w:val="0"/>
        <w:widowControl/>
        <w:numPr>
          <w:ilvl w:val="0"/>
          <w:numId w:val="0"/>
        </w:numPr>
        <w:suppressLineNumbers w:val="0"/>
        <w:ind w:leftChars="0" w:right="0" w:rightChars="0"/>
        <w:jc w:val="both"/>
        <w:rPr>
          <w:rFonts w:ascii="Times New Roman Bold" w:cs="Times New Roman Bold" w:eastAsia="宋体" w:hAnsi="Times New Roman Bold" w:hint="default"/>
          <w:b/>
          <w:bCs/>
          <w:kern w:val="0"/>
          <w:sz w:val="29"/>
          <w:szCs w:val="22"/>
        </w:rPr>
      </w:pPr>
      <w:r>
        <w:rPr>
          <w:rFonts w:ascii="Times New Roman Bold" w:cs="Times New Roman Bold" w:eastAsia="宋体" w:hAnsi="Times New Roman Bold" w:hint="default"/>
          <w:b/>
          <w:bCs/>
          <w:kern w:val="0"/>
          <w:sz w:val="29"/>
          <w:szCs w:val="22"/>
        </w:rPr>
        <w:t>Ground rules:</w:t>
      </w:r>
    </w:p>
    <w:p ns2:paraId="40E6EB42">
      <w:pPr>
        <w:pStyle w:val="2"/>
        <w:keepNext w:val="0"/>
        <w:keepLines w:val="0"/>
        <w:widowControl/>
        <w:numPr>
          <w:ilvl w:val="0"/>
          <w:numId w:val="0"/>
        </w:numPr>
        <w:suppressLineNumbers w:val="0"/>
        <w:ind w:leftChars="0" w:right="0" w:rightChars="0"/>
        <w:jc w:val="both"/>
        <w:rPr>
          <w:rFonts w:ascii="Times New Roman" w:cs="Times New Roman" w:eastAsia="宋体" w:hAnsi="Times New Roman" w:hint="eastAsia"/>
          <w:kern w:val="0"/>
          <w:sz w:val="29"/>
          <w:szCs w:val="22"/>
        </w:rPr>
      </w:pPr>
      <w:r>
        <w:rPr>
          <w:rFonts w:ascii="Times New Roman" w:cs="Times New Roman" w:eastAsia="宋体" w:hAnsi="Times New Roman" w:hint="eastAsia"/>
          <w:kern w:val="0"/>
          <w:sz w:val="29"/>
          <w:szCs w:val="22"/>
        </w:rPr>
        <w:t xml:space="preserve">1. </w:t>
      </w:r>
      <w:r>
        <w:rPr>
          <w:rFonts w:ascii="Times New Roman" w:cs="Times New Roman" w:eastAsia="宋体" w:hAnsi="Times New Roman"/>
          <w:kern w:val="0"/>
          <w:sz w:val="29"/>
          <w:szCs w:val="22"/>
        </w:rPr>
        <w:t>We will hold meetings to review progress and determine the next steps, while promptly discussing any areas of uncertainty.</w:t>
      </w:r>
    </w:p>
    <w:p ns2:paraId="78C4C3F7">
      <w:pPr>
        <w:pStyle w:val="2"/>
        <w:keepNext w:val="0"/>
        <w:keepLines w:val="0"/>
        <w:widowControl/>
        <w:numPr>
          <w:ilvl w:val="0"/>
          <w:numId w:val="0"/>
        </w:numPr>
        <w:suppressLineNumbers w:val="0"/>
        <w:ind w:leftChars="0" w:right="0" w:rightChars="0"/>
        <w:jc w:val="both"/>
        <w:rPr>
          <w:rFonts w:ascii="Times New Roman" w:cs="Times New Roman" w:eastAsia="宋体" w:hAnsi="Times New Roman" w:hint="eastAsia"/>
          <w:kern w:val="0"/>
          <w:sz w:val="29"/>
          <w:szCs w:val="22"/>
        </w:rPr>
      </w:pPr>
      <w:r>
        <w:rPr>
          <w:rFonts w:ascii="Times New Roman" w:cs="Times New Roman" w:eastAsia="宋体" w:hAnsi="Times New Roman" w:hint="eastAsia"/>
          <w:kern w:val="0"/>
          <w:sz w:val="29"/>
          <w:szCs w:val="22"/>
        </w:rPr>
        <w:t>2. Every figure or number quoted in the report must be reproducible</w:t>
      </w:r>
      <w:r>
        <w:rPr>
          <w:rFonts w:ascii="Times New Roman" w:cs="Times New Roman" w:eastAsia="宋体" w:hAnsi="Times New Roman" w:hint="eastAsia"/>
          <w:kern w:val="0"/>
          <w:sz w:val="29"/>
          <w:szCs w:val="22"/>
          <w:lang w:eastAsia="zh-CN" w:val="en-US"/>
        </w:rPr>
        <w:t xml:space="preserve"> </w:t>
      </w:r>
      <w:r>
        <w:rPr>
          <w:rFonts w:ascii="Times New Roman" w:cs="Times New Roman" w:eastAsia="宋体" w:hAnsi="Times New Roman" w:hint="eastAsia"/>
          <w:kern w:val="0"/>
          <w:sz w:val="29"/>
          <w:szCs w:val="22"/>
        </w:rPr>
        <w:t>from the notebook before it is included.</w:t>
      </w:r>
    </w:p>
    <w:p ns2:paraId="4D0B7E21">
      <w:pPr>
        <w:pStyle w:val="2"/>
        <w:keepNext w:val="0"/>
        <w:keepLines w:val="0"/>
        <w:widowControl/>
        <w:numPr>
          <w:ilvl w:val="0"/>
          <w:numId w:val="0"/>
        </w:numPr>
        <w:suppressLineNumbers w:val="0"/>
        <w:ind w:leftChars="0" w:right="0" w:rightChars="0"/>
        <w:jc w:val="both"/>
        <w:rPr>
          <w:rFonts w:ascii="Times New Roman" w:cs="Times New Roman" w:eastAsia="宋体" w:hAnsi="Times New Roman" w:hint="eastAsia"/>
          <w:kern w:val="0"/>
          <w:sz w:val="29"/>
          <w:szCs w:val="22"/>
        </w:rPr>
      </w:pPr>
      <w:r>
        <w:rPr>
          <w:rFonts w:ascii="Times New Roman" w:cs="Times New Roman" w:eastAsia="宋体" w:hAnsi="Times New Roman" w:hint="eastAsia"/>
          <w:kern w:val="0"/>
          <w:sz w:val="29"/>
          <w:szCs w:val="22"/>
        </w:rPr>
        <w:t>3. Decisions are made by consensus; if we disagree on an</w:t>
      </w:r>
      <w:r>
        <w:rPr>
          <w:rFonts w:ascii="Times New Roman" w:cs="Times New Roman" w:eastAsia="宋体" w:hAnsi="Times New Roman" w:hint="eastAsia"/>
          <w:kern w:val="0"/>
          <w:sz w:val="29"/>
          <w:szCs w:val="22"/>
          <w:lang w:eastAsia="zh-CN" w:val="en-US"/>
        </w:rPr>
        <w:t xml:space="preserve"> </w:t>
      </w:r>
      <w:r>
        <w:rPr>
          <w:rFonts w:ascii="Times New Roman" w:cs="Times New Roman" w:eastAsia="宋体" w:hAnsi="Times New Roman" w:hint="eastAsia"/>
          <w:kern w:val="0"/>
          <w:sz w:val="29"/>
          <w:szCs w:val="22"/>
        </w:rPr>
        <w:t>interpretation, we keep the more cautious wording.</w:t>
      </w:r>
    </w:p>
    <w:p ns2:paraId="17D76252">
      <w:pPr>
        <w:spacing w:after="106"/>
      </w:pPr>
      <w:r>
        <w:rPr>
          <w:rFonts w:ascii="Times New Roman" w:cs="Times New Roman" w:hAnsi="Times New Roman"/>
          <w:b/>
          <w:spacing w:val="0"/>
          <w:sz w:val="32"/>
        </w:rPr>
        <w:t>References</w:t>
      </w:r>
    </w:p>
    <w:p>
      <w:pPr>
        <w:spacing w:after="133"/>
        <w:jc w:val="left"/>
        <w:rPr>
          <w:rFonts w:ascii="Times New Roman" w:cs="Times New Roman" w:eastAsia="宋体" w:hAnsi="Times New Roman"/>
          <w:spacing w:val="0"/>
          <w:sz w:val="29"/>
        </w:rPr>
      </w:pPr>
      <w:r>
        <w:t>Statistics and Census Service (DSEC), Macao SAR. Visitor arrivals by mode of transport — monthly time series. </w:t>
      </w:r>
      <w:hyperlink r:id="rId100">
        <w:r>
          <w:rPr>
            <w:color w:val="0563C1"/>
            <w:u w:val="single"/>
          </w:rPr>
          <w:t>https://www.dsec.gov.mo/ts/#!/step2/PredefinedReport/en-US/18</w:t>
        </w:r>
      </w:hyperlink>
      <w:r>
        <w:t>.</w:t>
      </w:r>
    </w:p>
    <w:p>
      <w:pPr>
        <w:spacing w:after="133"/>
        <w:jc w:val="left"/>
        <w:rPr>
          <w:rFonts w:ascii="Times New Roman" w:cs="Times New Roman" w:eastAsia="宋体" w:hAnsi="Times New Roman"/>
          <w:spacing w:val="0"/>
          <w:sz w:val="29"/>
        </w:rPr>
      </w:pPr>
      <w:r>
        <w:t>Statistics and Census Service (DSEC), Macao SAR. Composite Consumer Price Index of main sections of goods and services — monthly time series. </w:t>
      </w:r>
      <w:hyperlink r:id="rId101">
        <w:r>
          <w:rPr>
            <w:color w:val="0563C1"/>
            <w:u w:val="single"/>
          </w:rPr>
          <w:t>https://www.dsec.gov.mo/ts/#!/step2/PredefinedReport/en-US/14</w:t>
        </w:r>
      </w:hyperlink>
      <w:r>
        <w:t>.</w:t>
      </w:r>
    </w:p>
    <w:p>
      <w:pPr>
        <w:spacing w:after="133"/>
        <w:jc w:val="left"/>
        <w:rPr>
          <w:rFonts w:ascii="Times New Roman" w:cs="Times New Roman" w:eastAsia="宋体" w:hAnsi="Times New Roman"/>
          <w:spacing w:val="0"/>
          <w:sz w:val="29"/>
        </w:rPr>
      </w:pPr>
      <w:r>
        <w:t>Statistics and Census Service (DSEC), Macao SAR. Composite Consumer Price Index, CPI (A) and CPI (B) — monthly time series. </w:t>
      </w:r>
      <w:hyperlink r:id="rId102">
        <w:r>
          <w:rPr>
            <w:color w:val="0563C1"/>
            <w:u w:val="single"/>
          </w:rPr>
          <w:t>https://www.dsec.gov.mo/ts/#!/step2/PredefinedReport/en-US/15</w:t>
        </w:r>
      </w:hyperlink>
      <w:r>
        <w:t>.</w:t>
      </w:r>
    </w:p>
    <w:sectPr>
      <w:pgBorders>
        <w:top w:space="0" w:sz="0" w:val="none"/>
        <w:left w:space="0" w:sz="0" w:val="none"/>
        <w:bottom w:space="0" w:sz="0" w:val="none"/>
        <w:right w:space="0" w:sz="0" w:val="none"/>
      </w:pgBorders>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DF716AA"/>
    <w:rsid w:val="2FDDE7EF"/>
    <w:rsid w:val="379EAA0C"/>
    <w:rsid w:val="3EE71B02"/>
    <w:rsid w:val="57DF3C03"/>
    <w:rsid w:val="57EF313A"/>
    <w:rsid w:val="6AB33D67"/>
    <w:rsid w:val="6B4DE273"/>
    <w:rsid w:val="6FFEAADA"/>
    <w:rsid w:val="73FCB40B"/>
    <w:rsid w:val="746F510E"/>
    <w:rsid w:val="75FF2BF9"/>
    <w:rsid w:val="76FF880D"/>
    <w:rsid w:val="777F2625"/>
    <w:rsid w:val="7BB91A5B"/>
    <w:rsid w:val="7BC7EE64"/>
    <w:rsid w:val="7BDB4298"/>
    <w:rsid w:val="7CEECDCF"/>
    <w:rsid w:val="7DADD95D"/>
    <w:rsid w:val="7F67DB67"/>
    <w:rsid w:val="7F972F22"/>
    <w:rsid w:val="7FCF3BD4"/>
    <w:rsid w:val="7FF741B6"/>
    <w:rsid w:val="9DEF63AF"/>
    <w:rsid w:val="A3FAFBA7"/>
    <w:rsid w:val="B1E9D577"/>
    <w:rsid w:val="B76BDABD"/>
    <w:rsid w:val="BF7D3271"/>
    <w:rsid w:val="CBB7066C"/>
    <w:rsid w:val="CFBCBC3F"/>
    <w:rsid w:val="D7FEB670"/>
    <w:rsid w:val="DEF0B7EA"/>
    <w:rsid w:val="DEF7B5FC"/>
    <w:rsid w:val="F27BC1AA"/>
    <w:rsid w:val="F7FBD076"/>
    <w:rsid w:val="F9FFF091"/>
    <w:rsid w:val="FBEBAC92"/>
    <w:rsid w:val="FCDE7DFB"/>
    <w:rsid w:val="FFFF94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ns0:Relationships xmlns:ns0="http://schemas.openxmlformats.org/package/2006/relationships"><ns0:Relationship Id="rId5" Target="fontTable.xml" Type="http://schemas.openxmlformats.org/officeDocument/2006/relationships/fontTable" /><ns0:Relationship Id="rId4" Target="media/image1.png" Type="http://schemas.openxmlformats.org/officeDocument/2006/relationships/image" /><ns0:Relationship Id="rId3" Target="theme/theme1.xml" Type="http://schemas.openxmlformats.org/officeDocument/2006/relationships/theme" /><ns0:Relationship Id="rId2" Target="settings.xml" Type="http://schemas.openxmlformats.org/officeDocument/2006/relationships/settings" /><ns0:Relationship Id="rId1" Target="styles.xml" Type="http://schemas.openxmlformats.org/officeDocument/2006/relationships/styles" /><ns0:Relationship Id="rId100" Target="https://www.dsec.gov.mo/ts/#!/step2/PredefinedReport/en-US/18" TargetMode="External" Type="http://schemas.openxmlformats.org/officeDocument/2006/relationships/hyperlink" /><ns0:Relationship Id="rId101" Target="https://www.dsec.gov.mo/ts/#!/step2/PredefinedReport/en-US/14" TargetMode="External" Type="http://schemas.openxmlformats.org/officeDocument/2006/relationships/hyperlink" /><ns0:Relationship Id="rId102" Target="https://www.dsec.gov.mo/ts/#!/step2/PredefinedReport/en-US/15" TargetMode="External" Type="http://schemas.openxmlformats.org/officeDocument/2006/relationships/hyperlink" /><ns0:Relationship Id="rId200" Target="https://github.com/wangcui92/CISC7204-MC641431-2026GitHub" TargetMode="External" Type="http://schemas.openxmlformats.org/officeDocument/2006/relationships/hyperlink" /></ns0: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27</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2026-09-18T07:38:00Z</dcterms:created>
  <dc:creator>Data</dc:creator>
  <cp:lastModifiedBy>何文文</cp:lastModifiedBy>
  <dcterms:modified xsi:type="dcterms:W3CDTF">2026-09-18T19:08:13Z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C55FE773BA9D50BC789AAB6AA44AA858_42</vt:lpwstr>
  </property>
</Properties>
</file>