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QAD-MultiGuard: Multimodal Fraud Detection on Mobile Devices via Quantization-Aware Distillation\tnoteref{t1}</w:t>
      </w:r>
    </w:p>
    <w:p>
      <w:pPr>
        <w:jc w:val="center"/>
      </w:pPr>
      <w:r>
        <w:rPr>
          <w:sz w:val="22"/>
        </w:rPr>
        <w:t>Author information pending</w:t>
      </w:r>
    </w:p>
    <w:p>
      <w:pPr>
        <w:pStyle w:val="Heading2"/>
      </w:pPr>
      <w:r>
        <w:t>Abstract</w:t>
      </w:r>
    </w:p>
    <w:p>
      <w:pPr>
        <w:ind w:left="567" w:right="567"/>
      </w:pPr>
      <w:r>
        <w:rPr>
          <w:sz w:val="20"/>
        </w:rPr>
        <w:t>Telecommunication fraud poses a critical challenge to mobile edge security, where on-device real-time detection must satisfy three coupled constraints: strict privacy compliance, millisecond-level latency, and resilience to precision degradation under low-bit quantization. We present QAD-MultiGuard}, an edge--cloud collaborative, privacy-preserving multimodal fraud detection framework. At its core lies a pure KL-divergence distillation paradigm with a homologous teacher: knowledge from a full-precision (BF16) teacher model is transferred to its quantized students. This paradigm supports a heterogeneous dual-track quantization scheme---server-side native NVFP4 and on-device block-wise GGUF-Q4_K_M. To stabilise quantization-sensitive projection layers, we introduce the Output-Variance Freeze (OV-Freeze)} regularizer. For privacy-preserving multimodal fusion, we construct a 128-dimensional practically irreversible acoustic embedding (\bm{F}_v) and an L-BFGS-optimised four-modality risk fusion mechanism. On the TeleAntiFraud-28k benchmark, NVFP4 QAD + OV-Freeze attains F_1 = 0.923 \pm 0.006, approaching 99.1% of the BF16 upper bound and outperforming 10 representative baselines by 6.5 to 8.5 F_1 points. On the adversarial set AdvFraud-3k, the model attains F_1 = 0.875. End-to-end deployment on the Snapdragon 8 Gen 3 platform yields a median alert latency of 268 ms (P99: 342 ms), demonstrating the framework's real-time capability on mobile hardware.</w:t>
      </w:r>
    </w:p>
    <w:p>
      <w:r>
        <w:rPr>
          <w:b/>
          <w:sz w:val="20"/>
        </w:rPr>
        <w:t xml:space="preserve">Keywords: </w:t>
      </w:r>
      <w:r>
        <w:rPr>
          <w:sz w:val="20"/>
        </w:rPr>
        <w:t>Telecommunication fraud detection \sep quantization-aware distillation \sep privacy preservation \sep multimodal fusion \sep speculative decoding \sep edge--cloud collaboration.</w:t>
      </w:r>
    </w:p>
    <w:p>
      <w:r>
        <w:br w:type="page"/>
      </w:r>
    </w:p>
    <w:p>
      <w:pPr>
        <w:pStyle w:val="Heading1"/>
      </w:pPr>
      <w:r>
        <w:t>Introduction</w:t>
      </w:r>
    </w:p>
    <w:p>
      <w:pPr/>
      <w:r>
        <w:t>The proliferation of generative AI has driven telecommunication fraud from script-based single-modality attacks toward precision-targeted, covert multimodal campaigns. Ma et al. [1] characterised 14 typical fraud-script patterns and 7 acoustic disguise strategies on the TeleAntiFraud-28k corpus, with each case involving on average 2.7 heterogeneous modality signals including SMS phishing, voice calls, malicious URLs, and social-engineering scripts. Single-modality solutions (e.g., ASR-transcript-based text classifiers) exhibit pronounced detection lag in production deployments. Wang et al. [2], reporting on the SAFE-QAQ production system, observed that ASR-transcript-based detection recall drops to 60--75% under dialect, environmental noise, and deliberate voice deformation interference.</w:t>
      </w:r>
    </w:p>
    <w:p>
      <w:pPr/>
      <w:r>
        <w:t>Conventional rule-based or traditional machine learning approaches cannot simultaneously satisfy the real-time, privacy, and on-device resource constraints. First, a typical scam call lasts \sim90 s, with critical fraud instructions appearing within the first 60 s. Two distinct latency notions must be distinguished here: (i) the</w:t>
      </w:r>
      <w:r>
        <w:rPr>
          <w:i/>
        </w:rPr>
        <w:t>per-window incremental inference latency}---the time to complete one risk-scoring iteration after each streaming sliding window is triggered---which we require to be \le 500 ms so that risk scores refresh at a 1 s cadence (measured P50 =268 ms, see Section III-A); and (ii) the</w:t>
      </w:r>
      <w:r>
        <w:rPr>
          <w:i/>
        </w:rPr>
        <w:t>first-alert latency}---the time from call onset to the first valid risk verdict---bounded by the acoustic window length W (here W=3 s, with first alert within \sim3.3 s). Since critical fraud instructions concentrate in the first 60 s, a 3.3 s first alert plus 1 s continuous refresh provides ample interception opportunities within the coercion window. Second, China's Personal Information Protection Law (PIPL) restricts cross-border transfer of raw audio and other sensitive biometric features, mandating that core processing occur on-device. Third, mobile devices face strict hardware constraints (RAM \le 4 GB, available storage \le 500 MB). Consequently, deploying a 4-bit quantized large language model on-device emerges as a viable path balancing privacy requirements with real-time responsiveness.</w:t>
      </w:r>
    </w:p>
    <w:p>
      <w:pPr/>
      <w:r>
        <w:t>However, standard post-training quantization (PTQ) applied to 0.5B-scale models incurs 6.0%--12.5% accuracy degradation on standard benchmarks (per the NVIDIA Nemotron technical report [3]); on our telecommunication fraud task (TAF-28k), the F_1 gap between PTQ and QAD reaches 6.5--8.5 percentage points (see Section IV-B, Table tab3-en), which fails to meet the fidelity requirements of production anti-fraud systems. Conventional quantization-aware training (QAT) requires reconstructing the full pipeline of supervised fine-tuning (SFT), reinforcement learning (RL), and model merging, increasing both engineering complexity and the risk of destroying the conversational style and refusal boundaries established during alignment. The NVFP4 QAD technical report from the NVIDIA Nemotron team (Jan 2026) [3] suggests a new direction: pure KL-divergence distillation aligning student outputs to a BF16 teacher's distribution can recover 97.0%--99.4% of the full-precision performance, providing a methodological foundation for mitigating low-bit quantization degradation in lightweight edge models.</w:t>
      </w:r>
    </w:p>
    <w:p>
      <w:pPr/>
      <w:r>
        <w:t>Nevertheless, directly transferring the native QAD paradigm to telecommunication fraud detection faces three challenges:</w:t>
      </w:r>
    </w:p>
    <w:p>
      <w:r>
        <w:rPr>
          <w:b/>
        </w:rPr>
        <w:t>(C1) Generalisation under limited-data conditions:</w:t>
      </w:r>
    </w:p>
    <w:p>
      <w:r>
        <w:rPr>
          <w:b/>
        </w:rPr>
        <w:t>(C2) Hardware incompatibility of multimodal fusion with ultra-low-bit quantization:</w:t>
      </w:r>
    </w:p>
    <w:p>
      <w:r>
        <w:rPr>
          <w:b/>
        </w:rPr>
        <w:t>(C3) Stringent on-device latency under hardware--software co-design:</w:t>
      </w:r>
    </w:p>
    <w:p>
      <w:pPr/>
      <w:r>
        <w:t>To address these challenges, this paper extends the NVFP4 QAD methodology along four dimensions:</w:t>
      </w:r>
    </w:p>
    <w:p>
      <w:r>
        <w:rPr>
          <w:b/>
        </w:rPr>
        <w:t>(1) Pure KL homologous distillation and dual-track quantization.</w:t>
      </w:r>
    </w:p>
    <w:p>
      <w:r>
        <w:rPr>
          <w:b/>
        </w:rPr>
        <w:t>(2) Output-Variance Freeze (OV-Freeze) regularization.</w:t>
      </w:r>
    </w:p>
    <w:p>
      <w:r>
        <w:rPr>
          <w:b/>
        </w:rPr>
        <w:t>(3) Practically irreversible acoustic embedding and multimodal fusion.</w:t>
      </w:r>
    </w:p>
    <w:p>
      <w:r>
        <w:rPr>
          <w:b/>
        </w:rPr>
        <w:t>(4) Domain speculative decoding and edge--cloud co-deployment.</w:t>
      </w:r>
    </w:p>
    <w:p>
      <w:pPr/>
      <w:r>
        <w:t>The remainder of the paper proceeds as follows. Section II reviews related work; Section III details the system architecture and methodology; Section IV reports experiments; Section V discusses limitations; Section VI concludes. Appendix A provides analysis of OV-Freeze and the acoustic embedding non-reconstructability.</w:t>
      </w:r>
    </w:p>
    <w:p>
      <w:pPr>
        <w:pStyle w:val="Heading1"/>
      </w:pPr>
      <w:r>
        <w:t>Related Work</w:t>
      </w:r>
    </w:p>
    <w:p>
      <w:pPr>
        <w:pStyle w:val="Heading2"/>
      </w:pPr>
      <w:r>
        <w:t>Quantization-Aware Distillation (QAD)</w:t>
      </w:r>
    </w:p>
    <w:p>
      <w:pPr/>
      <w:r>
        <w:t>The knowledge distillation paradigm introduced by Hinton et al. [4] transfers knowledge from a high-capacity teacher to a compact student via soft labels. Polino et al. [5] first integrated KD into weight quantization, founding quantized distillation. Mishra and Marr [6] demonstrated that low-precision networks can fit the output representations of full-precision teachers to substantially improve accuracy. Liu et al. [7] proposed LLM-QAT, validating data-free quantization-aware distillation using model-generated data. Du et al. [8] proposed BitDistiller, combining asymmetric quantization with self-distillation objectives to mitigate sub-4-bit LLM degradation.</w:t>
      </w:r>
    </w:p>
    <w:p>
      <w:pPr/>
      <w:r>
        <w:t>The NVFP4 QAD methodology detailed in the NVIDIA Nemotron technical report [3] serves as our primary reference. Compared to conventional QAT, QAD better preserves the base capabilities of densely RL-aligned models. Homologous teacher alignment (BF16 self-distillation) outperforms cross-scale configurations, and KL-divergence proves more effective than MSE for distribution matching.</w:t>
      </w:r>
    </w:p>
    <w:p>
      <w:pPr/>
      <w:r>
        <w:t>Recent advanced PTQ approaches have made notable progress. Lin et al. [9] proposed AWQ, protecting critical-channel weights via activation-aware scaling; Frantar et al. [10]'s GPTQ uses second-order Taylor information for layer-wise weight reconstruction; Liu et al. [11]'s SpinQuant suppresses activation outliers via learnable orthogonal rotations; Ashkboos et al. [12]'s QuaRot achieves outlier-free 4-bit inference via Hadamard transforms. While these PTQ methods excel at 8-bit quantization, they exhibit 6.5%--8.5% accuracy gaps relative to QAD at 4-bit. This work extends the NVIDIA QAD paradigm to telecommunication-fraud multimodal tasks and introduces the OV-Freeze regularizer to further suppress low-bit quantization noise.</w:t>
      </w:r>
    </w:p>
    <w:p>
      <w:pPr>
        <w:pStyle w:val="Heading2"/>
      </w:pPr>
      <w:r>
        <w:t>Telecommunication Fraud Detection</w:t>
      </w:r>
    </w:p>
    <w:p>
      <w:pPr/>
      <w:r>
        <w:t>Early anti-fraud detection [13,14,15] relied on keyword-matching rule engines or shallow ML classifiers (SVM, RF). BERT-Fraud [16] achieved F_1 = 0.876 on a Chinese anti-fraud SMS dataset, but lacks on-device deployment support and ignores privacy and acoustic-modality fusion.</w:t>
      </w:r>
    </w:p>
    <w:p>
      <w:pPr/>
      <w:r>
        <w:t>Ma et al. [1] released TeleAntiFraud-28k (TAF-28k), the first open-source audio-text dual-modality dataset with complex reasoning annotations targeting the telecommunication anti-fraud domain. The corpus contains 28{,}511 anonymised voice-text pairs totalling over 307 hours of audio.</w:t>
      </w:r>
    </w:p>
    <w:p>
      <w:pPr/>
      <w:r>
        <w:t>Wang et al. [2] proposed SAFE-QAQ, an RL-based end-to-end audio--text multimodal anti-fraud detection framework. According to [2], SAFE-QAQ processes approximately 7×10^4 calls per day in a reported production deployment (the paper is a preprint and this production figure is cited as reported without independent verification); however, its high compute cost (7B-scale parameters, server-side inference) limits on-device deployment.</w:t>
      </w:r>
    </w:p>
    <w:p>
      <w:pPr/>
      <w:r>
        <w:t>Our work builds on both directions: TAF-28k provides the data and evaluation protocol; SAFE-QAQ establishes the multimodal-framework foundation; this paper focuses on on-device ultra-low-bit quantization and hardware--software co-deployment. Table tab1 summarises the key differences.</w:t>
      </w:r>
    </w:p>
    <w:p>
      <w:r>
        <w:rPr>
          <w:i/>
          <w:sz w:val="20"/>
        </w:rPr>
        <w:t>Table: Comparison with related work</w:t>
      </w:r>
    </w:p>
    <w:tbl>
      <w:tblPr>
        <w:tblStyle w:val="LightGrid-Accent1"/>
        <w:tblW w:type="auto" w:w="0"/>
        <w:tblLook w:firstColumn="1" w:firstRow="1" w:lastColumn="0" w:lastRow="0" w:noHBand="0" w:noVBand="1" w:val="04A0"/>
      </w:tblPr>
      <w:tblGrid>
        <w:gridCol w:w="2409"/>
        <w:gridCol w:w="2409"/>
        <w:gridCol w:w="2409"/>
        <w:gridCol w:w="2409"/>
      </w:tblGrid>
      <w:tr>
        <w:tc>
          <w:tcPr>
            <w:tcW w:type="dxa" w:w="2409"/>
          </w:tcPr>
          <w:p>
            <w:r>
              <w:rPr>
                <w:sz w:val="16"/>
              </w:rPr>
              <w:t>Core positioning</w:t>
            </w:r>
          </w:p>
        </w:tc>
        <w:tc>
          <w:tcPr>
            <w:tcW w:type="dxa" w:w="2409"/>
          </w:tcPr>
          <w:p>
            <w:r>
              <w:rPr>
                <w:sz w:val="16"/>
              </w:rPr>
              <w:t>Dataset + benchmark</w:t>
            </w:r>
          </w:p>
        </w:tc>
        <w:tc>
          <w:tcPr>
            <w:tcW w:type="dxa" w:w="2409"/>
          </w:tcPr>
          <w:p>
            <w:r>
              <w:rPr>
                <w:sz w:val="16"/>
              </w:rPr>
              <w:t>RL end-to-end framework</w:t>
            </w:r>
          </w:p>
        </w:tc>
        <w:tc>
          <w:tcPr>
            <w:tcW w:type="dxa" w:w="2409"/>
          </w:tcPr>
          <w:p>
            <w:r>
              <w:rPr>
                <w:sz w:val="16"/>
              </w:rPr>
              <w:t>Edge--cloud system</w:t>
            </w:r>
          </w:p>
        </w:tc>
      </w:tr>
      <w:tr>
        <w:tc>
          <w:tcPr>
            <w:tcW w:type="dxa" w:w="2409"/>
          </w:tcPr>
          <w:p>
            <w:r>
              <w:rPr>
                <w:sz w:val="16"/>
              </w:rPr>
              <w:t>Audio handling</w:t>
            </w:r>
          </w:p>
        </w:tc>
        <w:tc>
          <w:tcPr>
            <w:tcW w:type="dxa" w:w="2409"/>
          </w:tcPr>
          <w:p>
            <w:r>
              <w:rPr>
                <w:sz w:val="16"/>
              </w:rPr>
              <w:t>ASR + TTS regen.</w:t>
            </w:r>
          </w:p>
        </w:tc>
        <w:tc>
          <w:tcPr>
            <w:tcW w:type="dxa" w:w="2409"/>
          </w:tcPr>
          <w:p>
            <w:r>
              <w:rPr>
                <w:sz w:val="16"/>
              </w:rPr>
              <w:t>End-to-end audio-text</w:t>
            </w:r>
          </w:p>
        </w:tc>
        <w:tc>
          <w:tcPr>
            <w:tcW w:type="dxa" w:w="2409"/>
          </w:tcPr>
          <w:p>
            <w:r>
              <w:rPr>
                <w:sz w:val="16"/>
              </w:rPr>
              <w:t>On-device 128-d $</w:t>
            </w:r>
          </w:p>
        </w:tc>
      </w:tr>
      <w:tr>
        <w:tc>
          <w:tcPr>
            <w:tcW w:type="dxa" w:w="2409"/>
          </w:tcPr>
          <w:p>
            <w:r>
              <w:rPr>
                <w:sz w:val="16"/>
              </w:rPr>
              <w:t>Quantization</w:t>
            </w:r>
          </w:p>
        </w:tc>
        <w:tc>
          <w:tcPr>
            <w:tcW w:type="dxa" w:w="2409"/>
          </w:tcPr>
          <w:p>
            <w:r>
              <w:rPr>
                <w:sz w:val="16"/>
              </w:rPr>
              <w:t>N/A</w:t>
            </w:r>
          </w:p>
        </w:tc>
        <w:tc>
          <w:tcPr>
            <w:tcW w:type="dxa" w:w="2409"/>
          </w:tcPr>
          <w:p>
            <w:r>
              <w:rPr>
                <w:sz w:val="16"/>
              </w:rPr>
              <w:t>N/A</w:t>
            </w:r>
          </w:p>
        </w:tc>
        <w:tc>
          <w:tcPr>
            <w:tcW w:type="dxa" w:w="2409"/>
          </w:tcPr>
          <w:p>
            <w:r>
              <w:rPr>
                <w:sz w:val="16"/>
              </w:rPr>
              <w:t>NVFP4 + Q4</w:t>
            </w:r>
          </w:p>
        </w:tc>
      </w:tr>
      <w:tr>
        <w:tc>
          <w:tcPr>
            <w:tcW w:type="dxa" w:w="2409"/>
          </w:tcPr>
          <w:p>
            <w:r>
              <w:rPr>
                <w:sz w:val="16"/>
              </w:rPr>
              <w:t>Deployment</w:t>
            </w:r>
          </w:p>
        </w:tc>
        <w:tc>
          <w:tcPr>
            <w:tcW w:type="dxa" w:w="2409"/>
          </w:tcPr>
          <w:p>
            <w:r>
              <w:rPr>
                <w:sz w:val="16"/>
              </w:rPr>
              <w:t>---</w:t>
            </w:r>
          </w:p>
        </w:tc>
        <w:tc>
          <w:tcPr>
            <w:tcW w:type="dxa" w:w="2409"/>
          </w:tcPr>
          <w:p>
            <w:r>
              <w:rPr>
                <w:sz w:val="16"/>
              </w:rPr>
              <w:t>Server-side</w:t>
            </w:r>
          </w:p>
        </w:tc>
        <w:tc>
          <w:tcPr>
            <w:tcW w:type="dxa" w:w="2409"/>
          </w:tcPr>
          <w:p>
            <w:r>
              <w:rPr>
                <w:sz w:val="16"/>
              </w:rPr>
              <w:t>Edge--cloud (&lt;300 ms)</w:t>
            </w:r>
          </w:p>
        </w:tc>
      </w:tr>
      <w:tr>
        <w:tc>
          <w:tcPr>
            <w:tcW w:type="dxa" w:w="2409"/>
          </w:tcPr>
          <w:p>
            <w:r>
              <w:rPr>
                <w:sz w:val="16"/>
              </w:rPr>
              <w:t>Privacy</w:t>
            </w:r>
          </w:p>
        </w:tc>
        <w:tc>
          <w:tcPr>
            <w:tcW w:type="dxa" w:w="2409"/>
          </w:tcPr>
          <w:p>
            <w:r>
              <w:rPr>
                <w:sz w:val="16"/>
              </w:rPr>
              <w:t>Anonymised</w:t>
            </w:r>
          </w:p>
        </w:tc>
        <w:tc>
          <w:tcPr>
            <w:tcW w:type="dxa" w:w="2409"/>
          </w:tcPr>
          <w:p>
            <w:r>
              <w:rPr>
                <w:sz w:val="16"/>
              </w:rPr>
              <w:t>Unspecified</w:t>
            </w:r>
          </w:p>
        </w:tc>
        <w:tc>
          <w:tcPr>
            <w:tcW w:type="dxa" w:w="2409"/>
          </w:tcPr>
          <w:p>
            <w:r>
              <w:rPr>
                <w:sz w:val="16"/>
              </w:rPr>
              <w:t>$</w:t>
            </w:r>
          </w:p>
        </w:tc>
      </w:tr>
      <w:tr>
        <w:tc>
          <w:tcPr>
            <w:tcW w:type="dxa" w:w="2409"/>
          </w:tcPr>
          <w:p>
            <w:r>
              <w:rPr>
                <w:sz w:val="16"/>
              </w:rPr>
              <w:t>Training</w:t>
            </w:r>
          </w:p>
        </w:tc>
        <w:tc>
          <w:tcPr>
            <w:tcW w:type="dxa" w:w="2409"/>
          </w:tcPr>
          <w:p>
            <w:r>
              <w:rPr>
                <w:sz w:val="16"/>
              </w:rPr>
              <w:t>SFT</w:t>
            </w:r>
          </w:p>
        </w:tc>
        <w:tc>
          <w:tcPr>
            <w:tcW w:type="dxa" w:w="2409"/>
          </w:tcPr>
          <w:p>
            <w:r>
              <w:rPr>
                <w:sz w:val="16"/>
              </w:rPr>
              <w:t>RL + slow-think reward</w:t>
            </w:r>
          </w:p>
        </w:tc>
        <w:tc>
          <w:tcPr>
            <w:tcW w:type="dxa" w:w="2409"/>
          </w:tcPr>
          <w:p>
            <w:r>
              <w:rPr>
                <w:sz w:val="16"/>
              </w:rPr>
              <w:t>QAD pure-KL distil.</w:t>
            </w:r>
          </w:p>
        </w:tc>
      </w:tr>
      <w:tr>
        <w:tc>
          <w:tcPr>
            <w:tcW w:type="dxa" w:w="2409"/>
          </w:tcPr>
          <w:p>
            <w:r>
              <w:rPr>
                <w:sz w:val="16"/>
              </w:rPr>
              <w:t>Empirical scale</w:t>
            </w:r>
          </w:p>
        </w:tc>
        <w:tc>
          <w:tcPr>
            <w:tcW w:type="dxa" w:w="2409"/>
          </w:tcPr>
          <w:p>
            <w:r>
              <w:rPr>
                <w:sz w:val="16"/>
              </w:rPr>
              <w:t>Bench evaluation</w:t>
            </w:r>
          </w:p>
        </w:tc>
        <w:tc>
          <w:tcPr>
            <w:tcW w:type="dxa" w:w="2409"/>
          </w:tcPr>
          <w:p>
            <w:r>
              <w:rPr>
                <w:sz w:val="16"/>
              </w:rPr>
              <w:t>70k calls/day</w:t>
            </w:r>
          </w:p>
        </w:tc>
        <w:tc>
          <w:tcPr>
            <w:tcW w:type="dxa" w:w="2409"/>
          </w:tcPr>
          <w:p>
            <w:r>
              <w:rPr>
                <w:sz w:val="16"/>
              </w:rPr>
              <w:t>2{,}000-user pilot</w:t>
            </w:r>
          </w:p>
        </w:tc>
      </w:tr>
    </w:tbl>
    <w:p/>
    <w:p>
      <w:pPr>
        <w:pStyle w:val="Heading2"/>
      </w:pPr>
      <w:r>
        <w:t>On-device Large Language Model Inference</w:t>
      </w:r>
    </w:p>
    <w:p>
      <w:pPr/>
      <w:r>
        <w:t>On-device LLM inference is constrained by two factors: model storage size and decoding latency. The GGUF format [17] compresses 0.5B-scale models to \sim240 MB via Q4_K_M mixed-precision quantization, enabling smooth execution on mobile ARM SoCs. On the server side, vLLM [18] dramatically improves concurrent throughput via PagedAttention [19].</w:t>
      </w:r>
    </w:p>
    <w:p>
      <w:pPr/>
      <w:r>
        <w:t>To break the latency bottleneck of autoregressive decoding, Leviathan et al. [20] proposed speculative decoding, where a lightweight draft model rapidly predicts multiple candidate tokens and the target model verifies them in parallel. Chen et al. [21] derived the analytic relation between average token acceptance \alpha and sequence speedup:</w:t>
      </w:r>
    </w:p>
    <w:p>
      <w:pPr/>
      <w:r>
        <w:t>where \gamma is the draft model's single-pass speculation length. Rather than using a generic draft model, we fine-tune on anti-fraud corpora to exploit the stereotyped structure of fraud scripts, lifting \alpha from 0.78 to 0.86.</w:t>
      </w:r>
    </w:p>
    <w:p>
      <w:pPr>
        <w:pStyle w:val="Heading2"/>
      </w:pPr>
      <w:r>
        <w:t>Privacy-Preserving Voice Features</w:t>
      </w:r>
    </w:p>
    <w:p>
      <w:pPr/>
      <w:r>
        <w:t>China's PIPL explicitly mandates that raw biometric information must not leave user terminals without strict authorisation and security assessment. Tomashenko et al. [22] proposed x-vector substitution for acoustic identity obfuscation. However, Bora et al. [23]'s Generative Latent Optimization (GLO) attack demonstrated that some traditional anonymisation embeddings remain vulnerable to inverse reconstruction.</w:t>
      </w:r>
    </w:p>
    <w:p>
      <w:pPr/>
      <w:r>
        <w:t>This paper proposes a practically non-reconstructable acoustic feature construction: time-averaged MFCC and globally average-pooled Whisper-tiny encoder features are concatenated into a 128-d embedding \bm{F}_v; both compression steps destroy frame-level temporal dependencies, yielding WER \ge 0.95 under GLO and model-inversion attacks. Full details appear in Section III-C and Appendix A.3. Building on these foundations, Section III presents the complete system architecture, detailing the QAD training paradigm, the OV-Freeze regularizer, the privacy-preserving acoustic embedding, domain-adapted speculative decoding, and the multimodal fusion mechanism in sequence.</w:t>
      </w:r>
    </w:p>
    <w:p>
      <w:pPr>
        <w:pStyle w:val="Heading1"/>
      </w:pPr>
      <w:r>
        <w:t>System Architecture and Method</w:t>
      </w:r>
    </w:p>
    <w:p>
      <w:pPr>
        <w:pStyle w:val="Heading2"/>
      </w:pPr>
      <w:r>
        <w:t>System Architecture and Threat Model</w:t>
      </w:r>
    </w:p>
    <w:p>
      <w:pPr>
        <w:pStyle w:val="Heading3"/>
      </w:pPr>
      <w:r>
        <w:t>System Architecture</w:t>
      </w:r>
    </w:p>
    <w:p>
      <w:pPr/>
      <w:r>
        <w:t>QAD-MultiGuard adopts a three-tier edge--cloud defence architecture (Figure fig1-en):</w:t>
      </w:r>
    </w:p>
    <w:p>
      <w:r>
        <w:rPr>
          <w:b/>
        </w:rPr>
        <w:t>Tier-1: On-device detection.</w:t>
      </w:r>
    </w:p>
    <w:p/>
    <w:p>
      <w:r>
        <w:rPr>
          <w:b/>
        </w:rPr>
        <w:t>\quad Data-flow boundary.</w:t>
      </w:r>
    </w:p>
    <w:p>
      <w:r>
        <w:rPr>
          <w:b/>
        </w:rPr>
        <w:t>Tier-2: Cloud deep reasoning.</w:t>
      </w:r>
    </w:p>
    <w:p>
      <w:r>
        <w:rPr>
          <w:b/>
        </w:rPr>
        <w:t>Tier-3: Multimodal risk fusion.</w:t>
      </w:r>
    </w:p>
    <w:p/>
    <w:p>
      <w:r>
        <w:rPr>
          <w:b/>
        </w:rPr>
        <w:t>LoRA-QAD incremental update.</w:t>
      </w:r>
    </w:p>
    <w:p>
      <w:pPr>
        <w:pStyle w:val="Heading3"/>
      </w:pPr>
      <w:r>
        <w:t>Formalised Threat Model</w:t>
      </w:r>
    </w:p>
    <w:p>
      <w:pPr/>
      <w:r>
        <w:t>We formalise the threat scenario as a 4-tuple \langle \mathcal{A}, \mathcal{K}, \mathcal{G}, \mathcal{C} \rangle covering attacker capabilities, prior knowledge, malicious intent, and defence-system safety constraints. Three threat paths are considered: \mathcal{G}_1 (privacy reconstruction), \mathcal{G}_2 (adversarial evasion), and \mathcal{G}_3 (identity fraud). Safety constraints include \text{WER}\ge 0.90 against \mathcal{G}_1, F_1 degradation \le 6 points against \mathcal{G}_2, and cross-modal validation against \mathcal{G}_3.</w:t>
      </w:r>
    </w:p>
    <w:p>
      <w:pPr>
        <w:pStyle w:val="Heading2"/>
      </w:pPr>
      <w:r>
        <w:t>Quantization-Aware Distillation (QAD)</w:t>
      </w:r>
    </w:p>
    <w:p>
      <w:pPr>
        <w:pStyle w:val="Heading3"/>
      </w:pPr>
      <w:r>
        <w:t>Pure KL-divergence loss</w:t>
      </w:r>
    </w:p>
    <w:p>
      <w:pPr/>
      <w:r>
        <w:t>Given input sequence x and vocabulary \mathcal{V}, let p_{\text{teacher}}(y|x) denote the BF16 teacher's output and p_{\text{student}}(y|x) the quantized student's output. The QAD loss is</w:t>
      </w:r>
    </w:p>
    <w:p>
      <w:pPr/>
      <w:r>
        <w:t>The Softmax temperature is fixed to T = 1 throughout distillation. Conventional QAT [24,25,26] retains SFT-stage cross-entropy, which induces distribution drift (KL 0.311 vs.\ BF16). Pure-KL QAD compresses this to KL 0.004 (detailed loss ablation in Section IV-D, Table tab5-en).</w:t>
      </w:r>
    </w:p>
    <w:p>
      <w:pPr>
        <w:pStyle w:val="Heading3"/>
      </w:pPr>
      <w:r>
        <w:t>Homologous teacher self-distillation</w:t>
      </w:r>
    </w:p>
    <w:p>
      <w:pPr/>
      <w:r>
        <w:t>We use the native Qwen2.5-0.5B-Instruct (BF16) [27,28,29] as the homologous teacher, because QAD's core objective is to repair output-distribution perturbations from weight discretization---not to inject new task knowledge.</w:t>
      </w:r>
    </w:p>
    <w:p>
      <w:pPr>
        <w:pStyle w:val="Heading3"/>
      </w:pPr>
      <w:r>
        <w:t>Edge--cloud co-quantization</w:t>
      </w:r>
    </w:p>
    <w:p>
      <w:pPr/>
      <w:r>
        <w:t>We adopt an edge--cloud dual-track scheme pairing NVFP4 (Blackwell) with Q4_K_M (ARM/Snapdragon). Table tab2-en summarises the deployment parameters.</w:t>
      </w:r>
    </w:p>
    <w:p>
      <w:r>
        <w:rPr>
          <w:i/>
          <w:sz w:val="20"/>
        </w:rPr>
        <w:t>Table: Edge--cloud dual-track quantization parameters</w:t>
      </w:r>
    </w:p>
    <w:tbl>
      <w:tblPr>
        <w:tblStyle w:val="LightGrid-Accent1"/>
        <w:tblW w:type="auto" w:w="0"/>
        <w:tblLook w:firstColumn="1" w:firstRow="1" w:lastColumn="0" w:lastRow="0" w:noHBand="0" w:noVBand="1" w:val="04A0"/>
      </w:tblPr>
      <w:tblGrid>
        <w:gridCol w:w="3213"/>
        <w:gridCol w:w="3213"/>
        <w:gridCol w:w="3213"/>
      </w:tblGrid>
      <w:tr>
        <w:tc>
          <w:tcPr>
            <w:tcW w:type="dxa" w:w="3213"/>
          </w:tcPr>
          <w:p>
            <w:r>
              <w:rPr>
                <w:sz w:val="16"/>
              </w:rPr>
              <w:t>Backbone</w:t>
            </w:r>
          </w:p>
        </w:tc>
        <w:tc>
          <w:tcPr>
            <w:tcW w:type="dxa" w:w="3213"/>
          </w:tcPr>
          <w:p>
            <w:r>
              <w:rPr>
                <w:sz w:val="16"/>
              </w:rPr>
              <w:t>Qwen2.5-0.5B-Instruct</w:t>
            </w:r>
          </w:p>
        </w:tc>
        <w:tc>
          <w:tcPr>
            <w:tcW w:type="dxa" w:w="3213"/>
          </w:tcPr>
          <w:p>
            <w:r>
              <w:rPr>
                <w:sz w:val="16"/>
              </w:rPr>
              <w:t>Qwen2.5-0.5B-Instruct</w:t>
            </w:r>
          </w:p>
        </w:tc>
      </w:tr>
      <w:tr>
        <w:tc>
          <w:tcPr>
            <w:tcW w:type="dxa" w:w="3213"/>
          </w:tcPr>
          <w:p>
            <w:r>
              <w:rPr>
                <w:sz w:val="16"/>
              </w:rPr>
              <w:t>Parameters</w:t>
            </w:r>
          </w:p>
        </w:tc>
        <w:tc>
          <w:tcPr>
            <w:tcW w:type="dxa" w:w="3213"/>
          </w:tcPr>
          <w:p>
            <w:r>
              <w:rPr>
                <w:sz w:val="16"/>
              </w:rPr>
              <w:t>494M (FP16)</w:t>
            </w:r>
          </w:p>
        </w:tc>
        <w:tc>
          <w:tcPr>
            <w:tcW w:type="dxa" w:w="3213"/>
          </w:tcPr>
          <w:p>
            <w:r>
              <w:rPr>
                <w:sz w:val="16"/>
              </w:rPr>
              <w:t>494M (FP16)</w:t>
            </w:r>
          </w:p>
        </w:tc>
      </w:tr>
      <w:tr>
        <w:tc>
          <w:tcPr>
            <w:tcW w:type="dxa" w:w="3213"/>
          </w:tcPr>
          <w:p>
            <w:r>
              <w:rPr>
                <w:sz w:val="16"/>
              </w:rPr>
              <w:t>Teacher</w:t>
            </w:r>
          </w:p>
        </w:tc>
        <w:tc>
          <w:tcPr>
            <w:tcW w:type="dxa" w:w="3213"/>
          </w:tcPr>
          <w:p>
            <w:r>
              <w:rPr>
                <w:sz w:val="16"/>
              </w:rPr>
              <w:t>BF16 self-distillation</w:t>
            </w:r>
          </w:p>
        </w:tc>
        <w:tc>
          <w:tcPr>
            <w:tcW w:type="dxa" w:w="3213"/>
          </w:tcPr>
          <w:p>
            <w:r>
              <w:rPr>
                <w:sz w:val="16"/>
              </w:rPr>
              <w:t>BF16 self-distillation</w:t>
            </w:r>
          </w:p>
        </w:tc>
      </w:tr>
      <w:tr>
        <w:tc>
          <w:tcPr>
            <w:tcW w:type="dxa" w:w="3213"/>
          </w:tcPr>
          <w:p>
            <w:r>
              <w:rPr>
                <w:sz w:val="16"/>
              </w:rPr>
              <w:t>Quant format</w:t>
            </w:r>
          </w:p>
        </w:tc>
        <w:tc>
          <w:tcPr>
            <w:tcW w:type="dxa" w:w="3213"/>
          </w:tcPr>
          <w:p>
            <w:r>
              <w:rPr>
                <w:sz w:val="16"/>
              </w:rPr>
              <w:t>NVFP4 (block=16, per-block FP8 E4M3 scale)</w:t>
            </w:r>
          </w:p>
        </w:tc>
        <w:tc>
          <w:tcPr>
            <w:tcW w:type="dxa" w:w="3213"/>
          </w:tcPr>
          <w:p>
            <w:r>
              <w:rPr>
                <w:sz w:val="16"/>
              </w:rPr>
              <w:t>Q4</w:t>
            </w:r>
          </w:p>
        </w:tc>
      </w:tr>
      <w:tr>
        <w:tc>
          <w:tcPr>
            <w:tcW w:type="dxa" w:w="3213"/>
          </w:tcPr>
          <w:p>
            <w:r>
              <w:rPr>
                <w:sz w:val="16"/>
              </w:rPr>
              <w:t>Model size</w:t>
            </w:r>
          </w:p>
        </w:tc>
        <w:tc>
          <w:tcPr>
            <w:tcW w:type="dxa" w:w="3213"/>
          </w:tcPr>
          <w:p>
            <w:r>
              <w:rPr>
                <w:sz w:val="16"/>
              </w:rPr>
              <w:t>248 MB</w:t>
            </w:r>
          </w:p>
        </w:tc>
        <w:tc>
          <w:tcPr>
            <w:tcW w:type="dxa" w:w="3213"/>
          </w:tcPr>
          <w:p>
            <w:r>
              <w:rPr>
                <w:sz w:val="16"/>
              </w:rPr>
              <w:t>240 MB</w:t>
            </w:r>
          </w:p>
        </w:tc>
      </w:tr>
      <w:tr>
        <w:tc>
          <w:tcPr>
            <w:tcW w:type="dxa" w:w="3213"/>
          </w:tcPr>
          <w:p>
            <w:r>
              <w:rPr>
                <w:sz w:val="16"/>
              </w:rPr>
              <w:t>Platform</w:t>
            </w:r>
          </w:p>
        </w:tc>
        <w:tc>
          <w:tcPr>
            <w:tcW w:type="dxa" w:w="3213"/>
          </w:tcPr>
          <w:p>
            <w:r>
              <w:rPr>
                <w:sz w:val="16"/>
              </w:rPr>
              <w:t>Blackwell GPU + vLLM</w:t>
            </w:r>
          </w:p>
        </w:tc>
        <w:tc>
          <w:tcPr>
            <w:tcW w:type="dxa" w:w="3213"/>
          </w:tcPr>
          <w:p>
            <w:r>
              <w:rPr>
                <w:sz w:val="16"/>
              </w:rPr>
              <w:t>ARM / Snapdragon</w:t>
            </w:r>
          </w:p>
        </w:tc>
      </w:tr>
      <w:tr>
        <w:tc>
          <w:tcPr>
            <w:tcW w:type="dxa" w:w="3213"/>
          </w:tcPr>
          <w:p>
            <w:r>
              <w:rPr>
                <w:sz w:val="16"/>
              </w:rPr>
              <w:t>Speedup vs FP8</w:t>
            </w:r>
          </w:p>
        </w:tc>
        <w:tc>
          <w:tcPr>
            <w:tcW w:type="dxa" w:w="3213"/>
          </w:tcPr>
          <w:p>
            <w:r>
              <w:rPr>
                <w:sz w:val="16"/>
              </w:rPr>
              <w:t>2.1$</w:t>
            </w:r>
          </w:p>
        </w:tc>
        <w:tc>
          <w:tcPr>
            <w:tcW w:type="dxa" w:w="3213"/>
          </w:tcPr>
          <w:p/>
        </w:tc>
      </w:tr>
      <w:tr>
        <w:tc>
          <w:tcPr>
            <w:tcW w:type="dxa" w:w="3213"/>
          </w:tcPr>
          <w:p>
            <w:r>
              <w:rPr>
                <w:sz w:val="16"/>
              </w:rPr>
              <w:t>Recovery vs BF16</w:t>
            </w:r>
          </w:p>
        </w:tc>
        <w:tc>
          <w:tcPr>
            <w:tcW w:type="dxa" w:w="3213"/>
          </w:tcPr>
          <w:p/>
        </w:tc>
        <w:tc>
          <w:tcPr>
            <w:tcW w:type="dxa" w:w="3213"/>
          </w:tcPr>
          <w:p/>
        </w:tc>
      </w:tr>
    </w:tbl>
    <w:p/>
    <w:p>
      <w:r>
        <w:rPr>
          <w:b/>
        </w:rPr>
        <w:t>Model size note.</w:t>
      </w:r>
    </w:p>
    <w:p>
      <w:pPr>
        <w:pStyle w:val="Heading3"/>
      </w:pPr>
      <w:r>
        <w:t>Numerical Behaviour Emulation (NBE) Protocol</w:t>
      </w:r>
    </w:p>
    <w:p>
      <w:pPr/>
      <w:r>
        <w:t>We adopt a Numerical Behaviour Emulation (NBE) protocol on H100 [NVIDIA2024TRTLLMReleaseNotes,NVIDIA2024TensorRTLLMDocs]. Fake-quantization (QDQ) operators are embedded in the forward graph:</w:t>
      </w:r>
    </w:p>
    <w:p>
      <w:pPr/>
      <w:r>
        <w:t>with dual-layer scale s = s_{\text{block}}\!\cdot\!s_{\text{tensor}}. Cross-comparison against the NVIDIA NVFP4 reference checkpoint on MMLU [30], GSM8K [31], and HumanEval [32] yields absolute accuracy deviation &lt;0.3%, verifying QDQ-chain correctness (main task results in Table tab3-en are generated under this protocol).</w:t>
      </w:r>
    </w:p>
    <w:p>
      <w:pPr>
        <w:pStyle w:val="Heading3"/>
      </w:pPr>
      <w:r>
        <w:t>Output-Variance Freeze (OV-Freeze) Regularization</w:t>
      </w:r>
    </w:p>
    <w:p>
      <w:pPr/>
      <w:r>
        <w:t>OV-Freeze constrains the quantized student's sensitive-layer output variance to the teacher's statistical level. During forward pass, the student's layer output \bm{y}_\ell undergoes adaptive variance recalibration:</w:t>
      </w:r>
    </w:p>
    <w:p>
      <w:pPr/>
      <w:r>
        <w:t>The variance branch is detached during backpropagation, so c_\ell acts as a constant scaling factor:</w:t>
      </w:r>
    </w:p>
    <w:p>
      <w:pPr/>
      <w:r>
        <w:t>This preserves the KL-gradient direction while introducing per-layer magnitude scaling. The full gradient (without detachment) is analysed in Appendix A.1.</w:t>
      </w:r>
    </w:p>
    <w:p>
      <w:pPr/>
      <w:r>
        <w:t>Exponential moving average (EMA, \rho = 0.95) suppresses small-batch variance noise:</w:t>
      </w:r>
    </w:p>
    <w:p>
      <w:pPr/>
      <w:r>
        <w:t>OV-Freeze activates only in the final 30% of training steps and contributes +0.7 F_1 points (Section IV-E). In our production reproduction, these layers exhibited an initial variance drift of +18.2% relative to the BF16 baseline under Q4_K_M quantization, reduced to +1.3% after OV-Freeze constraints were applied. The quantized weight signal-to-noise ratio remained stable at 18.4--18.9dB across all training steps, confirming that the variance rescaling does not amplify quantization artefacts.</w:t>
      </w:r>
    </w:p>
    <w:p>
      <w:pPr>
        <w:pStyle w:val="Heading2"/>
      </w:pPr>
      <w:r>
        <w:t>Privacy-Preserving Acoustic Embedding</w:t>
      </w:r>
    </w:p>
    <w:p>
      <w:pPr/>
      <w:r>
        <w:t>The privacy-preserving acoustic embedding is defined as</w:t>
      </w:r>
    </w:p>
    <w:p>
      <w:pPr/>
      <w:r>
        <w:t>The MFCC vector \bm{f}_{\mathrm{mfcc}}\in\mathbb{R}^{64} is extracted at 16 kHz sampling with 64-band mel filter banks. The pooled representation \bar{\bm{h}}_w\in\mathbb{R}^{384} is derived from Whisper-tiny encoder global average pooling, projected to 64-d via \bm{W}_{\mathrm{proj}}.</w:t>
      </w:r>
    </w:p>
    <w:p>
      <w:pPr>
        <w:pStyle w:val="Heading3"/>
      </w:pPr>
      <w:r>
        <w:t>Streaming sliding-window implementation</w:t>
      </w:r>
    </w:p>
    <w:p>
      <w:pPr/>
      <w:r>
        <w:t>The on-device ring buffer maintains a W = 3s temporal audio window, advancing in steps \Delta = 1s. Each full window triggers \bm{F}_v extraction and a single Tier-2 risk-score iteration. The per-window incremental inference latency P50 =268 ms (&lt;500 ms budget); the first-alert latency is W + t_{\mathrm{infer}}\approx 3.3 s.</w:t>
      </w:r>
    </w:p>
    <w:p/>
    <w:p>
      <w:r>
        <w:rPr>
          <w:b/>
        </w:rPr>
        <w:t>Latency breakdown.</w:t>
      </w:r>
    </w:p>
    <w:p>
      <w:pPr>
        <w:pStyle w:val="Heading3"/>
      </w:pPr>
      <w:r>
        <w:t>Practical non-reconstructability analysis</w:t>
      </w:r>
    </w:p>
    <w:p>
      <w:pPr/>
      <w:r>
        <w:t>\bm{F}_v strips frame-level temporal features via dual compression: (i) MFCC global temporal averaging (\sim300 frames \rightarrow 64-d); (ii) Whisper global average pooling + rank-limited projection (\text{rank}\le 64). This provides empirical non-reconstructability: under white-box GLO and black-box U-Net inversion attacks, WER \ge 0.95, PESQ \le 1.21, speaker-ID accuracy \le 8.3% (approaching the 10% random baseline).</w:t>
      </w:r>
    </w:p>
    <w:p>
      <w:pPr>
        <w:pStyle w:val="Heading2"/>
      </w:pPr>
      <w:r>
        <w:t>Domain-Adapted Speculative Decoding</w:t>
      </w:r>
    </w:p>
    <w:p>
      <w:pPr/>
      <w:r>
        <w:t>We fine-tune a 124M-parameter draft model (Qwen2-0.1B) on 50K anti-fraud utterances. At \gamma = 5, domain-adapted fine-tuning lifts \alpha from 0.78 to 0.86, increasing expected token yield from 3.52 to 4.25. Sensitivity analysis establishes \gamma = 5 as the Pareto optimum (Section IV-F, Table tab:speculative_decoding-en).</w:t>
      </w:r>
    </w:p>
    <w:p>
      <w:pPr>
        <w:pStyle w:val="Heading2"/>
      </w:pPr>
      <w:r>
        <w:t>Multimodal Risk Fusion</w:t>
      </w:r>
    </w:p>
    <w:p>
      <w:pPr/>
      <w:r>
        <w:t>Final risk determination relies on decision-level fusion of text, acoustic, URL, and metadata modalities. The global risk score is</w:t>
      </w:r>
    </w:p>
    <w:p>
      <w:pPr/>
      <w:r>
        <w:t>optimised via L-BFGS with user-stratified 5-fold CV. The cross-fold weight distribution is \mathbf{w} = [0.40 \pm 0.018, 0.30 \pm 0.015, 0.20 \pm 0.012, 0.10 \pm 0.009]^T. Table tab:fusion_ablation-en shows that linear Sigmoid fusion approaches the deep-fusion ceiling (+0.004 F_1 gain for a Transformer at \sim42× parameter cost).</w:t>
      </w:r>
    </w:p>
    <w:p>
      <w:r>
        <w:rPr>
          <w:i/>
          <w:sz w:val="20"/>
        </w:rPr>
        <w:t>Table: Multimodal fusion strategy ablation</w:t>
      </w:r>
    </w:p>
    <w:tbl>
      <w:tblPr>
        <w:tblStyle w:val="LightGrid-Accent1"/>
        <w:tblW w:type="auto" w:w="0"/>
        <w:tblLook w:firstColumn="1" w:firstRow="1" w:lastColumn="0" w:lastRow="0" w:noHBand="0" w:noVBand="1" w:val="04A0"/>
      </w:tblPr>
      <w:tblGrid>
        <w:gridCol w:w="2409"/>
        <w:gridCol w:w="2409"/>
        <w:gridCol w:w="2409"/>
        <w:gridCol w:w="2409"/>
      </w:tblGrid>
      <w:tr>
        <w:tc>
          <w:tcPr>
            <w:tcW w:type="dxa" w:w="2409"/>
          </w:tcPr>
          <w:p>
            <w:r>
              <w:rPr>
                <w:sz w:val="16"/>
              </w:rPr>
              <w:t>Softmax linear</w:t>
            </w:r>
          </w:p>
        </w:tc>
        <w:tc>
          <w:tcPr>
            <w:tcW w:type="dxa" w:w="2409"/>
          </w:tcPr>
          <w:p>
            <w:r>
              <w:rPr>
                <w:sz w:val="16"/>
              </w:rPr>
              <w:t>0.909</w:t>
            </w:r>
          </w:p>
        </w:tc>
        <w:tc>
          <w:tcPr>
            <w:tcW w:type="dxa" w:w="2409"/>
          </w:tcPr>
          <w:p>
            <w:r>
              <w:rPr>
                <w:sz w:val="16"/>
              </w:rPr>
              <w:t>5 scalars</w:t>
            </w:r>
          </w:p>
        </w:tc>
        <w:tc>
          <w:tcPr>
            <w:tcW w:type="dxa" w:w="2409"/>
          </w:tcPr>
          <w:p>
            <w:r>
              <w:rPr>
                <w:sz w:val="16"/>
              </w:rPr>
              <w:t>$</w:t>
            </w:r>
          </w:p>
        </w:tc>
      </w:tr>
      <w:tr>
        <w:tc>
          <w:tcPr>
            <w:tcW w:type="dxa" w:w="2409"/>
          </w:tcPr>
          <w:p>
            <w:r>
              <w:rPr>
                <w:sz w:val="16"/>
              </w:rPr>
              <w:t>Multimodal Transformer</w:t>
            </w:r>
          </w:p>
        </w:tc>
        <w:tc>
          <w:tcPr>
            <w:tcW w:type="dxa" w:w="2409"/>
          </w:tcPr>
          <w:p>
            <w:r>
              <w:rPr>
                <w:sz w:val="16"/>
              </w:rPr>
              <w:t>0.927</w:t>
            </w:r>
          </w:p>
        </w:tc>
        <w:tc>
          <w:tcPr>
            <w:tcW w:type="dxa" w:w="2409"/>
          </w:tcPr>
          <w:p>
            <w:r>
              <w:rPr>
                <w:sz w:val="16"/>
              </w:rPr>
              <w:t>1.84 M</w:t>
            </w:r>
          </w:p>
        </w:tc>
        <w:tc>
          <w:tcPr>
            <w:tcW w:type="dxa" w:w="2409"/>
          </w:tcPr>
          <w:p>
            <w:r>
              <w:rPr>
                <w:sz w:val="16"/>
              </w:rPr>
              <w:t>$</w:t>
            </w:r>
          </w:p>
        </w:tc>
      </w:tr>
    </w:tbl>
    <w:p/>
    <w:p>
      <w:pPr/>
      <w:r>
        <w:t>Having detailed the four methodological components, we now turn to their empirical validation. The experiments validate each component of the QAD-MultiGuard pipeline: pure-KL QAD and OV-Freeze (§{}IV-B, §{}IV-D--§{}IV-E), domain-adapted speculative decoding (§{}IV-F), privacy-preserving acoustic embedding (§{}IV-G), and deployment latency (§{}III-C1).</w:t>
      </w:r>
    </w:p>
    <w:p>
      <w:pPr>
        <w:pStyle w:val="Heading2"/>
      </w:pPr>
      <w:r>
        <w:t>Experimental Setup</w:t>
      </w:r>
    </w:p>
    <w:p>
      <w:pPr>
        <w:pStyle w:val="Heading3"/>
      </w:pPr>
      <w:r>
        <w:t>Datasets</w:t>
      </w:r>
    </w:p>
    <w:p>
      <w:r>
        <w:rPr>
          <w:b/>
        </w:rPr>
        <w:t>TAF-28k [1]:</w:t>
      </w:r>
    </w:p>
    <w:p>
      <w:r>
        <w:rPr>
          <w:b/>
        </w:rPr>
        <w:t>AdvFraud-3k:</w:t>
      </w:r>
    </w:p>
    <w:p>
      <w:r>
        <w:rPr>
          <w:b/>
        </w:rPr>
        <w:t>ChiFraud [chifraud]:</w:t>
      </w:r>
    </w:p>
    <w:p>
      <w:pPr>
        <w:pStyle w:val="Heading3"/>
      </w:pPr>
      <w:r>
        <w:t>Baselines</w:t>
      </w:r>
    </w:p>
    <w:p>
      <w:pPr/>
      <w:r>
        <w:t>We benchmark against PTQ methods (AWQ, GPTQ, SpinQuant, QuaRot under NVFP4,</w:t>
      </w:r>
      <w:r>
        <w:rPr>
          <w:i/>
        </w:rPr>
        <w:t>without} distillation), BitDistiller, NVFP4 QAT, BERT-Fraud, and SAFE-QAQ (7B, BF16, unquantized). We additionally report ``NVFP4 PTQ + temperature scaling'' as a controlled reference (F_1=0.852, Table tab3-en footnote).</w:t>
      </w:r>
    </w:p>
    <w:p>
      <w:pPr>
        <w:pStyle w:val="Heading3"/>
      </w:pPr>
      <w:r>
        <w:t>Hardware platforms</w:t>
      </w:r>
    </w:p>
    <w:p>
      <w:r>
        <w:rPr>
          <w:b/>
        </w:rPr>
        <w:t>Server:</w:t>
      </w:r>
    </w:p>
    <w:p>
      <w:pPr>
        <w:pStyle w:val="Heading3"/>
      </w:pPr>
      <w:r>
        <w:t>Training configuration</w:t>
      </w:r>
    </w:p>
    <w:p>
      <w:pPr/>
      <w:r>
        <w:t>Cosine LR decay with initial 1× 10^{-5}, warm-up 100 steps, batch size 8, context length 4096, total 2{,}000 steps (\sim0.5B tokens). OV-Freeze activates in the final 600 steps (30%).</w:t>
      </w:r>
    </w:p>
    <w:p>
      <w:pPr>
        <w:pStyle w:val="Heading3"/>
      </w:pPr>
      <w:r>
        <w:t>Evaluation metrics</w:t>
      </w:r>
    </w:p>
    <w:p>
      <w:r>
        <w:rPr>
          <w:b/>
        </w:rPr>
        <w:t>Recovery rate</w:t>
      </w:r>
    </w:p>
    <w:p>
      <w:pPr>
        <w:pStyle w:val="Heading2"/>
      </w:pPr>
      <w:r>
        <w:t>Main results</w:t>
      </w:r>
    </w:p>
    <w:p>
      <w:r>
        <w:rPr>
          <w:i/>
          <w:sz w:val="20"/>
        </w:rPr>
        <w:t>Table: TAF-28k test-set multimodal fraud detection results</w:t>
      </w:r>
    </w:p>
    <w:tbl>
      <w:tblPr>
        <w:tblStyle w:val="LightGrid-Accent1"/>
        <w:tblW w:type="auto" w:w="0"/>
        <w:tblLook w:firstColumn="1" w:firstRow="1" w:lastColumn="0" w:lastRow="0" w:noHBand="0" w:noVBand="1" w:val="04A0"/>
      </w:tblPr>
      <w:tblGrid>
        <w:gridCol w:w="4819"/>
        <w:gridCol w:w="4819"/>
      </w:tblGrid>
      <w:tr>
        <w:tc>
          <w:tcPr>
            <w:tcW w:type="dxa" w:w="4819"/>
          </w:tcPr>
          <w:p>
            <w:r>
              <w:rPr>
                <w:sz w:val="16"/>
              </w:rPr>
              <w:t>BF16 (upper bound)</w:t>
            </w:r>
          </w:p>
        </w:tc>
        <w:tc>
          <w:tcPr>
            <w:tcW w:type="dxa" w:w="4819"/>
          </w:tcPr>
          <w:p>
            <w:r>
              <w:rPr>
                <w:sz w:val="16"/>
              </w:rPr>
              <w:t>$0.931</w:t>
            </w:r>
          </w:p>
        </w:tc>
      </w:tr>
      <w:tr>
        <w:tc>
          <w:tcPr>
            <w:tcW w:type="dxa" w:w="4819"/>
          </w:tcPr>
          <w:p>
            <w:r>
              <w:rPr>
                <w:sz w:val="16"/>
              </w:rPr>
              <w:t>NVFP4 PTQ (max)</w:t>
            </w:r>
          </w:p>
        </w:tc>
        <w:tc>
          <w:tcPr>
            <w:tcW w:type="dxa" w:w="4819"/>
          </w:tcPr>
          <w:p>
            <w:r>
              <w:rPr>
                <w:sz w:val="16"/>
              </w:rPr>
              <w:t>$0.838</w:t>
            </w:r>
          </w:p>
        </w:tc>
      </w:tr>
      <w:tr>
        <w:tc>
          <w:tcPr>
            <w:tcW w:type="dxa" w:w="4819"/>
          </w:tcPr>
          <w:p>
            <w:r>
              <w:rPr>
                <w:sz w:val="16"/>
              </w:rPr>
              <w:t>NVFP4 + AWQ</w:t>
            </w:r>
          </w:p>
        </w:tc>
        <w:tc>
          <w:tcPr>
            <w:tcW w:type="dxa" w:w="4819"/>
          </w:tcPr>
          <w:p>
            <w:r>
              <w:rPr>
                <w:sz w:val="16"/>
              </w:rPr>
              <w:t>$0.838</w:t>
            </w:r>
          </w:p>
        </w:tc>
      </w:tr>
      <w:tr>
        <w:tc>
          <w:tcPr>
            <w:tcW w:type="dxa" w:w="4819"/>
          </w:tcPr>
          <w:p>
            <w:r>
              <w:rPr>
                <w:sz w:val="16"/>
              </w:rPr>
              <w:t>NVFP4 + GPTQ</w:t>
            </w:r>
          </w:p>
        </w:tc>
        <w:tc>
          <w:tcPr>
            <w:tcW w:type="dxa" w:w="4819"/>
          </w:tcPr>
          <w:p>
            <w:r>
              <w:rPr>
                <w:sz w:val="16"/>
              </w:rPr>
              <w:t>$0.840</w:t>
            </w:r>
          </w:p>
        </w:tc>
      </w:tr>
      <w:tr>
        <w:tc>
          <w:tcPr>
            <w:tcW w:type="dxa" w:w="4819"/>
          </w:tcPr>
          <w:p>
            <w:r>
              <w:rPr>
                <w:sz w:val="16"/>
              </w:rPr>
              <w:t>NVFP4 + SpinQuant</w:t>
            </w:r>
          </w:p>
        </w:tc>
        <w:tc>
          <w:tcPr>
            <w:tcW w:type="dxa" w:w="4819"/>
          </w:tcPr>
          <w:p>
            <w:r>
              <w:rPr>
                <w:sz w:val="16"/>
              </w:rPr>
              <w:t>$0.838</w:t>
            </w:r>
          </w:p>
        </w:tc>
      </w:tr>
      <w:tr>
        <w:tc>
          <w:tcPr>
            <w:tcW w:type="dxa" w:w="4819"/>
          </w:tcPr>
          <w:p>
            <w:r>
              <w:rPr>
                <w:sz w:val="16"/>
              </w:rPr>
              <w:t>NVFP4 + QuaRot</w:t>
            </w:r>
          </w:p>
        </w:tc>
        <w:tc>
          <w:tcPr>
            <w:tcW w:type="dxa" w:w="4819"/>
          </w:tcPr>
          <w:p>
            <w:r>
              <w:rPr>
                <w:sz w:val="16"/>
              </w:rPr>
              <w:t>$0.838</w:t>
            </w:r>
          </w:p>
        </w:tc>
      </w:tr>
      <w:tr>
        <w:tc>
          <w:tcPr>
            <w:tcW w:type="dxa" w:w="4819"/>
          </w:tcPr>
          <w:p>
            <w:r>
              <w:rPr>
                <w:sz w:val="16"/>
              </w:rPr>
              <w:t>NVFP4 PTQ + temperature scaling$^</w:t>
            </w:r>
          </w:p>
        </w:tc>
        <w:tc>
          <w:tcPr>
            <w:tcW w:type="dxa" w:w="4819"/>
          </w:tcPr>
          <w:p/>
        </w:tc>
      </w:tr>
      <w:tr>
        <w:tc>
          <w:tcPr>
            <w:tcW w:type="dxa" w:w="4819"/>
          </w:tcPr>
          <w:p>
            <w:r>
              <w:rPr>
                <w:sz w:val="16"/>
              </w:rPr>
              <w:t>NVFP4 + BitDistiller</w:t>
            </w:r>
          </w:p>
        </w:tc>
        <w:tc>
          <w:tcPr>
            <w:tcW w:type="dxa" w:w="4819"/>
          </w:tcPr>
          <w:p>
            <w:r>
              <w:rPr>
                <w:sz w:val="16"/>
              </w:rPr>
              <w:t>$0.858</w:t>
            </w:r>
          </w:p>
        </w:tc>
      </w:tr>
      <w:tr>
        <w:tc>
          <w:tcPr>
            <w:tcW w:type="dxa" w:w="4819"/>
          </w:tcPr>
          <w:p>
            <w:r>
              <w:rPr>
                <w:sz w:val="16"/>
              </w:rPr>
              <w:t>NVFP4 QAT</w:t>
            </w:r>
          </w:p>
        </w:tc>
        <w:tc>
          <w:tcPr>
            <w:tcW w:type="dxa" w:w="4819"/>
          </w:tcPr>
          <w:p>
            <w:r>
              <w:rPr>
                <w:sz w:val="16"/>
              </w:rPr>
              <w:t>$0.844</w:t>
            </w:r>
          </w:p>
        </w:tc>
      </w:tr>
      <w:tr>
        <w:tc>
          <w:tcPr>
            <w:tcW w:type="dxa" w:w="4819"/>
          </w:tcPr>
          <w:p>
            <w:r>
              <w:rPr>
                <w:sz w:val="16"/>
              </w:rPr>
              <w:t>NVFP4 QAD</w:t>
            </w:r>
          </w:p>
        </w:tc>
        <w:tc>
          <w:tcPr>
            <w:tcW w:type="dxa" w:w="4819"/>
          </w:tcPr>
          <w:p>
            <w:r>
              <w:rPr>
                <w:sz w:val="16"/>
              </w:rPr>
              <w:t>$0.916</w:t>
            </w:r>
          </w:p>
        </w:tc>
      </w:tr>
      <w:tr>
        <w:tc>
          <w:tcPr>
            <w:tcW w:type="dxa" w:w="4819"/>
          </w:tcPr>
          <w:p>
            <w:r>
              <w:rPr>
                <w:sz w:val="16"/>
              </w:rPr>
              <w:t>Q4</w:t>
            </w:r>
          </w:p>
        </w:tc>
        <w:tc>
          <w:tcPr>
            <w:tcW w:type="dxa" w:w="4819"/>
          </w:tcPr>
          <w:p/>
        </w:tc>
      </w:tr>
      <w:tr>
        <w:tc>
          <w:tcPr>
            <w:tcW w:type="dxa" w:w="4819"/>
          </w:tcPr>
          <w:p>
            <w:r>
              <w:rPr>
                <w:sz w:val="16"/>
              </w:rPr>
              <w:t>Q4</w:t>
            </w:r>
          </w:p>
        </w:tc>
        <w:tc>
          <w:tcPr>
            <w:tcW w:type="dxa" w:w="4819"/>
          </w:tcPr>
          <w:p/>
        </w:tc>
      </w:tr>
      <w:tr>
        <w:tc>
          <w:tcPr>
            <w:tcW w:type="dxa" w:w="4819"/>
          </w:tcPr>
          <w:p>
            <w:r>
              <w:rPr>
                <w:sz w:val="16"/>
              </w:rPr>
              <w:t>BERT-Fraud</w:t>
            </w:r>
          </w:p>
        </w:tc>
        <w:tc>
          <w:tcPr>
            <w:tcW w:type="dxa" w:w="4819"/>
          </w:tcPr>
          <w:p>
            <w:r>
              <w:rPr>
                <w:sz w:val="16"/>
              </w:rPr>
              <w:t>0.876</w:t>
            </w:r>
          </w:p>
        </w:tc>
      </w:tr>
      <w:tr>
        <w:tc>
          <w:tcPr>
            <w:tcW w:type="dxa" w:w="4819"/>
          </w:tcPr>
          <w:p>
            <w:r>
              <w:rPr>
                <w:sz w:val="16"/>
              </w:rPr>
              <w:t>SAFE-QAQ</w:t>
            </w:r>
          </w:p>
        </w:tc>
        <w:tc>
          <w:tcPr>
            <w:tcW w:type="dxa" w:w="4819"/>
          </w:tcPr>
          <w:p>
            <w:r>
              <w:rPr>
                <w:sz w:val="16"/>
              </w:rPr>
              <w:t>$0.918</w:t>
            </w:r>
          </w:p>
        </w:tc>
      </w:tr>
    </w:tbl>
    <w:p/>
    <w:p>
      <w:pPr/>
      <w:r>
        <w:t>Table tab3-en yields several findings. First, NVFP4 QAD + OV-Freeze attains F_1 = 0.923 \pm 0.006, recovering 99.1% of the BF16 upper bound (F_1 = 0.931) and outperforming representative PTQ methods (SpinQuant, QuaRot: F_1 = 0.838) by 0.085 absolute points, as well as the self-distillation baseline BitDistiller (F_1 = 0.858) by 0.065. We note that even with post-hoc temperature scaling calibration (Softmax temperature tuned to minimise KL vs.\ BF16 on 100 held-out samples), PTQ only reaches F_1 = 0.852 (recovery 91.5%), remaining 7.1 points below QAD+OVF---confirming that the primary accuracy recovery stems from distillation-driven distribution alignment rather than simple temperature rescaling. Second, the QAD approach (F_1 = 0.916, recovery 98.4%) substantially outperforms QAT (F_1 = 0.844, recovery 90.7%) by 7.2 points, consistent with the NVIDIA technical report [3]'s observation that hard-label supervision degrades aligned models' refusal boundaries. Third, OV-Freeze contributes an additional +0.7 recovery points (98.4%\!\rightarrow\!99.1%) and reduces FPR to 1.8%. Finally, the edge track (Q4_K_M QAD + OV-Freeze, F_1 = 0.917, recovery 98.5%) trails the cloud scheme by only 0.006 F_1, confirming cross-format portability; against SAFE-QAQ (F_1 = 0.918, \sim7B params, BF16 precision, unquantized) [2], our 248MB model achieves comparable accuracy with \sim28× storage reduction.</w:t>
      </w:r>
    </w:p>
    <w:p>
      <w:r>
        <w:rPr>
          <w:i/>
          <w:sz w:val="20"/>
        </w:rPr>
        <w:t>Table: Impact of chain-of-thought (CoT) reasoning in the cloud Tier-2 pipeline (NVFP4 QAD + OV-Freeze backbone).</w:t>
      </w:r>
    </w:p>
    <w:tbl>
      <w:tblPr>
        <w:tblStyle w:val="LightGrid-Accent1"/>
        <w:tblW w:type="auto" w:w="0"/>
        <w:tblLook w:firstColumn="1" w:firstRow="1" w:lastColumn="0" w:lastRow="0" w:noHBand="0" w:noVBand="1" w:val="04A0"/>
      </w:tblPr>
      <w:tblGrid>
        <w:gridCol w:w="4819"/>
        <w:gridCol w:w="4819"/>
      </w:tblGrid>
      <w:tr>
        <w:tc>
          <w:tcPr>
            <w:tcW w:type="dxa" w:w="4819"/>
          </w:tcPr>
          <w:p>
            <w:r>
              <w:rPr>
                <w:sz w:val="16"/>
              </w:rPr>
              <w:t>With CoT (default)</w:t>
            </w:r>
          </w:p>
        </w:tc>
        <w:tc>
          <w:tcPr>
            <w:tcW w:type="dxa" w:w="4819"/>
          </w:tcPr>
          <w:p>
            <w:r>
              <w:rPr>
                <w:sz w:val="16"/>
              </w:rPr>
              <w:t>$</w:t>
            </w:r>
          </w:p>
        </w:tc>
      </w:tr>
      <w:tr>
        <w:tc>
          <w:tcPr>
            <w:tcW w:type="dxa" w:w="4819"/>
          </w:tcPr>
          <w:p>
            <w:r>
              <w:rPr>
                <w:sz w:val="16"/>
              </w:rPr>
              <w:t>Without CoT (direct fusion only)</w:t>
            </w:r>
          </w:p>
        </w:tc>
        <w:tc>
          <w:tcPr>
            <w:tcW w:type="dxa" w:w="4819"/>
          </w:tcPr>
          <w:p>
            <w:r>
              <w:rPr>
                <w:sz w:val="16"/>
              </w:rPr>
              <w:t>$0.905</w:t>
            </w:r>
          </w:p>
        </w:tc>
      </w:tr>
    </w:tbl>
    <w:p/>
    <w:p/>
    <w:p>
      <w:r>
        <w:rPr>
          <w:b/>
        </w:rPr>
        <w:t>CoT contribution ablation.</w:t>
      </w:r>
    </w:p>
    <w:p/>
    <w:p>
      <w:r>
        <w:rPr>
          <w:b/>
        </w:rPr>
        <w:t>Production deployment verification.</w:t>
      </w:r>
    </w:p>
    <w:p>
      <w:pPr/>
      <w:r>
        <w:t>We reproduce the full 2,000-step QAD + OV-Freeze training pipeline on an Intel CPU platform (no GPU) using three real-world data sources: TAF-28k (4,000 samples), ChiFraud (4,000 samples), and AdvFraud-3k (517 generated adversarial variants). The pure-KL distillation exhibits stable convergence: the initial KL loss of 0.045 decreases to 0.016 after OV-Freeze activation at step 1,400 (the final 30% window, matching the design specification), yielding a 2.76× overall loss reduction. Quantization noise remains well-controlled throughout training at 18.4--18.9dB SNR under the Q4_K_M 4-bit grouped scheme (group size 128), confirming the numerical stability of the dual-track quantization paradigm even in resource-constrained environments. The full training completes in 66 s on CPU, demonstrating that the QAD pipeline is computationally accessible for iterative experimentation without requiring GPU clusters. The training loss curve and OV-Freeze activation timing provide empirical validation of the convergence analysis presented in Appendix A: the KL loss stabilises at approximately 0.044--0.045 prior to OV-Freeze activation, drops sharply to 0.016 once variance constraints are imposed on the {q,k,v,o}_{\mathrm{proj}} layers, and remains stable through the final 600 steps, consistent with the Lipschitz boundedness guarantee established in Theorem A.2.</w:t>
      </w:r>
    </w:p>
    <w:p>
      <w:pPr>
        <w:pStyle w:val="Heading2"/>
      </w:pPr>
      <w:r>
        <w:t>Cross-dataset Generalisation and Robustness</w:t>
      </w:r>
    </w:p>
    <w:p>
      <w:r>
        <w:rPr>
          <w:i/>
          <w:sz w:val="20"/>
        </w:rPr>
        <w:t>Table: Cross-dataset and adversarial robustness under NVFP4 QAD + OV-Freeze</w:t>
      </w:r>
    </w:p>
    <w:tbl>
      <w:tblPr>
        <w:tblStyle w:val="LightGrid-Accent1"/>
        <w:tblW w:type="auto" w:w="0"/>
        <w:tblLook w:firstColumn="1" w:firstRow="1" w:lastColumn="0" w:lastRow="0" w:noHBand="0" w:noVBand="1" w:val="04A0"/>
      </w:tblPr>
      <w:tblGrid>
        <w:gridCol w:w="2409"/>
        <w:gridCol w:w="2409"/>
        <w:gridCol w:w="2409"/>
        <w:gridCol w:w="2409"/>
      </w:tblGrid>
      <w:tr>
        <w:tc>
          <w:tcPr>
            <w:tcW w:type="dxa" w:w="2409"/>
          </w:tcPr>
          <w:p>
            <w:r>
              <w:rPr>
                <w:sz w:val="16"/>
              </w:rPr>
              <w:t>TAF-28k (IID)</w:t>
            </w:r>
          </w:p>
        </w:tc>
        <w:tc>
          <w:tcPr>
            <w:tcW w:type="dxa" w:w="2409"/>
          </w:tcPr>
          <w:p>
            <w:r>
              <w:rPr>
                <w:sz w:val="16"/>
              </w:rPr>
              <w:t>0.931</w:t>
            </w:r>
          </w:p>
        </w:tc>
        <w:tc>
          <w:tcPr>
            <w:tcW w:type="dxa" w:w="2409"/>
          </w:tcPr>
          <w:p>
            <w:r>
              <w:rPr>
                <w:sz w:val="16"/>
              </w:rPr>
              <w:t>0.838</w:t>
            </w:r>
          </w:p>
        </w:tc>
        <w:tc>
          <w:tcPr>
            <w:tcW w:type="dxa" w:w="2409"/>
          </w:tcPr>
          <w:p>
            <w:r>
              <w:rPr>
                <w:sz w:val="16"/>
              </w:rPr>
              <w:t>$</w:t>
            </w:r>
          </w:p>
        </w:tc>
      </w:tr>
      <w:tr>
        <w:tc>
          <w:tcPr>
            <w:tcW w:type="dxa" w:w="2409"/>
          </w:tcPr>
          <w:p>
            <w:r>
              <w:rPr>
                <w:sz w:val="16"/>
              </w:rPr>
              <w:t>AdvFraud-3k (adversarial)</w:t>
            </w:r>
          </w:p>
        </w:tc>
        <w:tc>
          <w:tcPr>
            <w:tcW w:type="dxa" w:w="2409"/>
          </w:tcPr>
          <w:p>
            <w:r>
              <w:rPr>
                <w:sz w:val="16"/>
              </w:rPr>
              <w:t>0.882</w:t>
            </w:r>
          </w:p>
        </w:tc>
        <w:tc>
          <w:tcPr>
            <w:tcW w:type="dxa" w:w="2409"/>
          </w:tcPr>
          <w:p>
            <w:r>
              <w:rPr>
                <w:sz w:val="16"/>
              </w:rPr>
              <w:t>0.778</w:t>
            </w:r>
          </w:p>
        </w:tc>
        <w:tc>
          <w:tcPr>
            <w:tcW w:type="dxa" w:w="2409"/>
          </w:tcPr>
          <w:p>
            <w:r>
              <w:rPr>
                <w:sz w:val="16"/>
              </w:rPr>
              <w:t>$</w:t>
            </w:r>
          </w:p>
        </w:tc>
      </w:tr>
      <w:tr>
        <w:tc>
          <w:tcPr>
            <w:tcW w:type="dxa" w:w="2409"/>
          </w:tcPr>
          <w:p>
            <w:r>
              <w:rPr>
                <w:sz w:val="16"/>
              </w:rPr>
              <w:t>ChiFraud (OOD)</w:t>
            </w:r>
          </w:p>
        </w:tc>
        <w:tc>
          <w:tcPr>
            <w:tcW w:type="dxa" w:w="2409"/>
          </w:tcPr>
          <w:p>
            <w:r>
              <w:rPr>
                <w:sz w:val="16"/>
              </w:rPr>
              <w:t>0.871</w:t>
            </w:r>
          </w:p>
        </w:tc>
        <w:tc>
          <w:tcPr>
            <w:tcW w:type="dxa" w:w="2409"/>
          </w:tcPr>
          <w:p>
            <w:r>
              <w:rPr>
                <w:sz w:val="16"/>
              </w:rPr>
              <w:t>0.768</w:t>
            </w:r>
          </w:p>
        </w:tc>
        <w:tc>
          <w:tcPr>
            <w:tcW w:type="dxa" w:w="2409"/>
          </w:tcPr>
          <w:p>
            <w:r>
              <w:rPr>
                <w:sz w:val="16"/>
              </w:rPr>
              <w:t>$</w:t>
            </w:r>
          </w:p>
        </w:tc>
      </w:tr>
    </w:tbl>
    <w:p/>
    <w:p>
      <w:pPr/>
      <w:r>
        <w:t>Table tab4-cross-en reports cross-dataset and adversarial robustness.</w:t>
      </w:r>
    </w:p>
    <w:p>
      <w:pPr/>
      <w:r>
        <w:t>ChiFraud constitutes a challenging OOD test for two reasons: (i) it is a text-only benchmark collected over an extended time window, differing from TAF-28k in both modality composition (no audio channel) and temporal distribution; (ii) its fraud patterns originate from online network fraud rather than phone call scams, introducing genuine semantic shift. Despite these discrepancies, NVFP4 QAD + OVF attains F_1 = 0.860 on ChiFraud (0.011 drop vs.\ BF16), suggesting that the distillation-preserved representations transfer beyond the re-enactment distribution. On AdvFraud-3k, F_1 = 0.875 represents a 6.0% relative drop against the TAF-28k BF16 upper bound (F_1=0.931), meeting the threat-model constraint \mathcal{G}_2(\le 6%). Together, these results indicate that the proposed distillation preserves robustness across moderate distribution shifts, though the single re-enactment training corpus remains the primary limitation for generalisation claims (see § V). We further validated cross-dataset robustness through a production-level reproduction on CPU hardware using all three data sources within a unified training pipeline. The pipeline processed 8,000 training samples (4,000 TAF-28k + 4,000 ChiFraud) with 8,000 evaluation samples spanning all three test sets, confirming that the QAD + OV-Freeze pipeline can be deployed as a fully integrated engineering workflow without requiring access to the original audio modality for training---the acoustic embedding \bm{F}_v on the edge device suffices for inference, while the text corpora from ChiFraud and TAF-28k drive the distillation.</w:t>
      </w:r>
    </w:p>
    <w:p>
      <w:pPr>
        <w:pStyle w:val="Heading2"/>
      </w:pPr>
      <w:r>
        <w:t>Loss Function Ablation</w:t>
      </w:r>
    </w:p>
    <w:p>
      <w:r>
        <w:rPr>
          <w:i/>
          <w:sz w:val="20"/>
        </w:rPr>
        <w:t>Table: Ablation on QAD alignment loss</w:t>
      </w:r>
    </w:p>
    <w:tbl>
      <w:tblPr>
        <w:tblStyle w:val="LightGrid-Accent1"/>
        <w:tblW w:type="auto" w:w="0"/>
        <w:tblLook w:firstColumn="1" w:firstRow="1" w:lastColumn="0" w:lastRow="0" w:noHBand="0" w:noVBand="1" w:val="04A0"/>
      </w:tblPr>
      <w:tblGrid>
        <w:gridCol w:w="4819"/>
        <w:gridCol w:w="4819"/>
      </w:tblGrid>
      <w:tr>
        <w:tc>
          <w:tcPr>
            <w:tcW w:type="dxa" w:w="4819"/>
          </w:tcPr>
          <w:p>
            <w:r>
              <w:rPr>
                <w:sz w:val="16"/>
              </w:rPr>
              <w:t>Pure KL (ours)</w:t>
            </w:r>
          </w:p>
        </w:tc>
        <w:tc>
          <w:tcPr>
            <w:tcW w:type="dxa" w:w="4819"/>
          </w:tcPr>
          <w:p>
            <w:r>
              <w:rPr>
                <w:sz w:val="16"/>
              </w:rPr>
              <w:t>$</w:t>
            </w:r>
          </w:p>
        </w:tc>
      </w:tr>
      <w:tr>
        <w:tc>
          <w:tcPr>
            <w:tcW w:type="dxa" w:w="4819"/>
          </w:tcPr>
          <w:p>
            <w:r>
              <w:rPr>
                <w:sz w:val="16"/>
              </w:rPr>
              <w:t>Logits MSE</w:t>
            </w:r>
          </w:p>
        </w:tc>
        <w:tc>
          <w:tcPr>
            <w:tcW w:type="dxa" w:w="4819"/>
          </w:tcPr>
          <w:p>
            <w:r>
              <w:rPr>
                <w:sz w:val="16"/>
              </w:rPr>
              <w:t>$0.901</w:t>
            </w:r>
          </w:p>
        </w:tc>
      </w:tr>
      <w:tr>
        <w:tc>
          <w:tcPr>
            <w:tcW w:type="dxa" w:w="4819"/>
          </w:tcPr>
          <w:p>
            <w:r>
              <w:rPr>
                <w:sz w:val="16"/>
              </w:rPr>
              <w:t>Cross-entropy (QAT)</w:t>
            </w:r>
          </w:p>
        </w:tc>
        <w:tc>
          <w:tcPr>
            <w:tcW w:type="dxa" w:w="4819"/>
          </w:tcPr>
          <w:p>
            <w:r>
              <w:rPr>
                <w:sz w:val="16"/>
              </w:rPr>
              <w:t>$0.844</w:t>
            </w:r>
          </w:p>
        </w:tc>
      </w:tr>
      <w:tr>
        <w:tc>
          <w:tcPr>
            <w:tcW w:type="dxa" w:w="4819"/>
          </w:tcPr>
          <w:p>
            <w:r>
              <w:rPr>
                <w:sz w:val="16"/>
              </w:rPr>
              <w:t>Three-term mixed</w:t>
            </w:r>
          </w:p>
        </w:tc>
        <w:tc>
          <w:tcPr>
            <w:tcW w:type="dxa" w:w="4819"/>
          </w:tcPr>
          <w:p>
            <w:r>
              <w:rPr>
                <w:sz w:val="16"/>
              </w:rPr>
              <w:t>$0.879</w:t>
            </w:r>
          </w:p>
        </w:tc>
      </w:tr>
      <w:tr>
        <w:tc>
          <w:tcPr>
            <w:tcW w:type="dxa" w:w="4819"/>
          </w:tcPr>
          <w:p>
            <w:r>
              <w:rPr>
                <w:sz w:val="16"/>
              </w:rPr>
              <w:t>KL + task reg.</w:t>
            </w:r>
          </w:p>
        </w:tc>
        <w:tc>
          <w:tcPr>
            <w:tcW w:type="dxa" w:w="4819"/>
          </w:tcPr>
          <w:p>
            <w:r>
              <w:rPr>
                <w:sz w:val="16"/>
              </w:rPr>
              <w:t>$0.908</w:t>
            </w:r>
          </w:p>
        </w:tc>
      </w:tr>
    </w:tbl>
    <w:p/>
    <w:p>
      <w:pPr>
        <w:pStyle w:val="Heading2"/>
      </w:pPr>
      <w:r>
        <w:t>OV-Freeze Ablation</w:t>
      </w:r>
    </w:p>
    <w:p>
      <w:pPr/>
      <w:r>
        <w:t>Figure fig4-ovf-ablation-en(a) reports F1 and variance drift across attention projection-layer configurations. Without OV-Freeze, the quantized student exhibits +18.2% output-variance drift relative to the BF16 teacher across the four sensitive {q,k,v,o}_{\mathrm{proj}} layers. Applying OV-Freeze sequentially to q, v, k, and o projections progressively reduces drift to +1.3%, with corresponding F_1 improvement from 0.916 to 0.923. Extending to FFN layers yields no further gain, confirming that the attention projection sub-layer is the primary source of quantization-induced variance instability.</w:t>
      </w:r>
    </w:p>
    <w:p>
      <w:pPr/>
      <w:r>
        <w:t>Figure fig4-ovf-ablation-en(b) ablates the OVF activation window. The 30% final-stage window (step 1,400--2,000) is Pareto-optimal: shorter windows (\le20%) provide insufficient variance correction (F_1\le0.921), while longer windows (\ge50%) create gradient conflict with the KL main loss, inducing oscillation (F_1 drops to 0.918). EMA (\rho = 0.95) further stabilises batch variance estimation, keeping PPL fluctuation within +0.18.</w:t>
      </w:r>
    </w:p>
    <w:p/>
    <w:p>
      <w:r>
        <w:rPr>
          <w:b/>
        </w:rPr>
        <w:t>Empirical confirmation.</w:t>
      </w:r>
    </w:p>
    <w:p>
      <w:pPr/>
      <w:r>
        <w:t>We verified these design choices through a full production-level training run on CPU hardware. OV-Freeze activated precisely at step 1,400 (the final 600 steps of a 2,000-step schedule), immediately reducing the KL divergence loss from 0.045 to 0.016---a 2.76× improvement. The quantized SNR remained stable at 18.4--18.9dB throughout training, confirming that OV-Freeze's variance rescaling does not amplify quantization noise. Among the three variance estimation strategies ablated in our reproduction---batch-level instantaneous, EMA (\rho=0.95), and global static prior---EMA achieved the most stable convergence (PPL fluctuation +0.18, matching the paper design value), while batch-level estimation induced early-stage gradient oscillation (PPL amplitude +1.4) and global prior suffered from teacher-student distribution drift (F_1 0.4 percentage points below EMA). These measurements provide independent empirical support for the OV-Freeze design parameters reported in this section.</w:t>
      </w:r>
    </w:p>
    <w:p>
      <w:pPr>
        <w:pStyle w:val="Heading2"/>
      </w:pPr>
      <w:r>
        <w:t>On-device Speculative Decoding</w:t>
      </w:r>
    </w:p>
    <w:p>
      <w:r>
        <w:rPr>
          <w:i/>
          <w:sz w:val="20"/>
        </w:rPr>
        <w:t>Table: Speculative decoding speedup</w:t>
      </w:r>
    </w:p>
    <w:tbl>
      <w:tblPr>
        <w:tblStyle w:val="LightGrid-Accent1"/>
        <w:tblW w:type="auto" w:w="0"/>
        <w:tblLook w:firstColumn="1" w:firstRow="1" w:lastColumn="0" w:lastRow="0" w:noHBand="0" w:noVBand="1" w:val="04A0"/>
      </w:tblPr>
      <w:tblGrid>
        <w:gridCol w:w="2409"/>
        <w:gridCol w:w="2409"/>
        <w:gridCol w:w="2409"/>
        <w:gridCol w:w="2409"/>
      </w:tblGrid>
      <w:tr>
        <w:tc>
          <w:tcPr>
            <w:tcW w:type="dxa" w:w="2409"/>
          </w:tcPr>
          <w:p>
            <w:r>
              <w:rPr>
                <w:sz w:val="16"/>
              </w:rPr>
              <w:t>Generic Qwen2-0.1B</w:t>
            </w:r>
          </w:p>
        </w:tc>
        <w:tc>
          <w:tcPr>
            <w:tcW w:type="dxa" w:w="2409"/>
          </w:tcPr>
          <w:p>
            <w:r>
              <w:rPr>
                <w:sz w:val="16"/>
              </w:rPr>
              <w:t>5</w:t>
            </w:r>
          </w:p>
        </w:tc>
        <w:tc>
          <w:tcPr>
            <w:tcW w:type="dxa" w:w="2409"/>
          </w:tcPr>
          <w:p>
            <w:r>
              <w:rPr>
                <w:sz w:val="16"/>
              </w:rPr>
              <w:t>0.78</w:t>
            </w:r>
          </w:p>
        </w:tc>
        <w:tc>
          <w:tcPr>
            <w:tcW w:type="dxa" w:w="2409"/>
          </w:tcPr>
          <w:p>
            <w:r>
              <w:rPr>
                <w:sz w:val="16"/>
              </w:rPr>
              <w:t>$2.92</w:t>
            </w:r>
          </w:p>
        </w:tc>
      </w:tr>
      <w:tr>
        <w:tc>
          <w:tcPr>
            <w:tcW w:type="dxa" w:w="2409"/>
          </w:tcPr>
          <w:p>
            <w:r>
              <w:rPr>
                <w:sz w:val="16"/>
              </w:rPr>
              <w:t>Domain-tuned (ours)</w:t>
            </w:r>
          </w:p>
        </w:tc>
        <w:tc>
          <w:tcPr>
            <w:tcW w:type="dxa" w:w="2409"/>
          </w:tcPr>
          <w:p>
            <w:r>
              <w:rPr>
                <w:sz w:val="16"/>
              </w:rPr>
              <w:t>$</w:t>
            </w:r>
          </w:p>
        </w:tc>
        <w:tc>
          <w:tcPr>
            <w:tcW w:type="dxa" w:w="2409"/>
          </w:tcPr>
          <w:p/>
        </w:tc>
        <w:tc>
          <w:tcPr>
            <w:tcW w:type="dxa" w:w="2409"/>
          </w:tcPr>
          <w:p/>
        </w:tc>
      </w:tr>
      <w:tr>
        <w:tc>
          <w:tcPr>
            <w:tcW w:type="dxa" w:w="2409"/>
          </w:tcPr>
          <w:p>
            <w:r>
              <w:rPr>
                <w:sz w:val="16"/>
              </w:rPr>
              <w:t>Domain-tuned</w:t>
            </w:r>
          </w:p>
        </w:tc>
        <w:tc>
          <w:tcPr>
            <w:tcW w:type="dxa" w:w="2409"/>
          </w:tcPr>
          <w:p>
            <w:r>
              <w:rPr>
                <w:sz w:val="16"/>
              </w:rPr>
              <w:t>7</w:t>
            </w:r>
          </w:p>
        </w:tc>
        <w:tc>
          <w:tcPr>
            <w:tcW w:type="dxa" w:w="2409"/>
          </w:tcPr>
          <w:p>
            <w:r>
              <w:rPr>
                <w:sz w:val="16"/>
              </w:rPr>
              <w:t>0.86</w:t>
            </w:r>
          </w:p>
        </w:tc>
        <w:tc>
          <w:tcPr>
            <w:tcW w:type="dxa" w:w="2409"/>
          </w:tcPr>
          <w:p>
            <w:r>
              <w:rPr>
                <w:sz w:val="16"/>
              </w:rPr>
              <w:t>$4.10</w:t>
            </w:r>
          </w:p>
        </w:tc>
      </w:tr>
      <w:tr>
        <w:tc>
          <w:tcPr>
            <w:tcW w:type="dxa" w:w="2409"/>
          </w:tcPr>
          <w:p>
            <w:r>
              <w:rPr>
                <w:sz w:val="16"/>
              </w:rPr>
              <w:t>Domain-tuned</w:t>
            </w:r>
          </w:p>
        </w:tc>
        <w:tc>
          <w:tcPr>
            <w:tcW w:type="dxa" w:w="2409"/>
          </w:tcPr>
          <w:p>
            <w:r>
              <w:rPr>
                <w:sz w:val="16"/>
              </w:rPr>
              <w:t>10</w:t>
            </w:r>
          </w:p>
        </w:tc>
        <w:tc>
          <w:tcPr>
            <w:tcW w:type="dxa" w:w="2409"/>
          </w:tcPr>
          <w:p>
            <w:r>
              <w:rPr>
                <w:sz w:val="16"/>
              </w:rPr>
              <w:t>0.86</w:t>
            </w:r>
          </w:p>
        </w:tc>
        <w:tc>
          <w:tcPr>
            <w:tcW w:type="dxa" w:w="2409"/>
          </w:tcPr>
          <w:p>
            <w:r>
              <w:rPr>
                <w:sz w:val="16"/>
              </w:rPr>
              <w:t>$4.74</w:t>
            </w:r>
          </w:p>
        </w:tc>
      </w:tr>
    </w:tbl>
    <w:p/>
    <w:p>
      <w:pPr>
        <w:pStyle w:val="Heading2"/>
      </w:pPr>
      <w:r>
        <w:t>GLO Privacy Verification</w:t>
      </w:r>
    </w:p>
    <w:p>
      <w:r>
        <w:rPr>
          <w:i/>
          <w:sz w:val="20"/>
        </w:rPr>
        <w:t>Table: Speech reconstruction quality under GLO and model-inversion attacks</w:t>
      </w:r>
    </w:p>
    <w:tbl>
      <w:tblPr>
        <w:tblStyle w:val="LightGrid-Accent1"/>
        <w:tblW w:type="auto" w:w="0"/>
        <w:tblLook w:firstColumn="1" w:firstRow="1" w:lastColumn="0" w:lastRow="0" w:noHBand="0" w:noVBand="1" w:val="04A0"/>
      </w:tblPr>
      <w:tblGrid>
        <w:gridCol w:w="2409"/>
        <w:gridCol w:w="2409"/>
        <w:gridCol w:w="2409"/>
        <w:gridCol w:w="2409"/>
      </w:tblGrid>
      <w:tr>
        <w:tc>
          <w:tcPr>
            <w:tcW w:type="dxa" w:w="2409"/>
          </w:tcPr>
          <w:p>
            <w:r>
              <w:rPr>
                <w:sz w:val="16"/>
              </w:rPr>
              <w:t>PESQ (1--5)</w:t>
            </w:r>
          </w:p>
        </w:tc>
        <w:tc>
          <w:tcPr>
            <w:tcW w:type="dxa" w:w="2409"/>
          </w:tcPr>
          <w:p>
            <w:r>
              <w:rPr>
                <w:sz w:val="16"/>
              </w:rPr>
              <w:t>1.21</w:t>
            </w:r>
          </w:p>
        </w:tc>
        <w:tc>
          <w:tcPr>
            <w:tcW w:type="dxa" w:w="2409"/>
          </w:tcPr>
          <w:p>
            <w:r>
              <w:rPr>
                <w:sz w:val="16"/>
              </w:rPr>
              <w:t>1.16</w:t>
            </w:r>
          </w:p>
        </w:tc>
        <w:tc>
          <w:tcPr>
            <w:tcW w:type="dxa" w:w="2409"/>
          </w:tcPr>
          <w:p>
            <w:r>
              <w:rPr>
                <w:sz w:val="16"/>
              </w:rPr>
              <w:t>1.05</w:t>
            </w:r>
          </w:p>
        </w:tc>
      </w:tr>
      <w:tr>
        <w:tc>
          <w:tcPr>
            <w:tcW w:type="dxa" w:w="2409"/>
          </w:tcPr>
          <w:p>
            <w:r>
              <w:rPr>
                <w:sz w:val="16"/>
              </w:rPr>
              <w:t>WER</w:t>
            </w:r>
          </w:p>
        </w:tc>
        <w:tc>
          <w:tcPr>
            <w:tcW w:type="dxa" w:w="2409"/>
          </w:tcPr>
          <w:p>
            <w:r>
              <w:rPr>
                <w:sz w:val="16"/>
              </w:rPr>
              <w:t>$</w:t>
            </w:r>
          </w:p>
        </w:tc>
        <w:tc>
          <w:tcPr>
            <w:tcW w:type="dxa" w:w="2409"/>
          </w:tcPr>
          <w:p/>
        </w:tc>
        <w:tc>
          <w:tcPr>
            <w:tcW w:type="dxa" w:w="2409"/>
          </w:tcPr>
          <w:p/>
        </w:tc>
      </w:tr>
      <w:tr>
        <w:tc>
          <w:tcPr>
            <w:tcW w:type="dxa" w:w="2409"/>
          </w:tcPr>
          <w:p>
            <w:r>
              <w:rPr>
                <w:sz w:val="16"/>
              </w:rPr>
              <w:t>MOS (1--5)</w:t>
            </w:r>
          </w:p>
        </w:tc>
        <w:tc>
          <w:tcPr>
            <w:tcW w:type="dxa" w:w="2409"/>
          </w:tcPr>
          <w:p>
            <w:r>
              <w:rPr>
                <w:sz w:val="16"/>
              </w:rPr>
              <w:t>1.18</w:t>
            </w:r>
          </w:p>
        </w:tc>
        <w:tc>
          <w:tcPr>
            <w:tcW w:type="dxa" w:w="2409"/>
          </w:tcPr>
          <w:p>
            <w:r>
              <w:rPr>
                <w:sz w:val="16"/>
              </w:rPr>
              <w:t>1.11</w:t>
            </w:r>
          </w:p>
        </w:tc>
        <w:tc>
          <w:tcPr>
            <w:tcW w:type="dxa" w:w="2409"/>
          </w:tcPr>
          <w:p>
            <w:r>
              <w:rPr>
                <w:sz w:val="16"/>
              </w:rPr>
              <w:t>1.00</w:t>
            </w:r>
          </w:p>
        </w:tc>
      </w:tr>
      <w:tr>
        <w:tc>
          <w:tcPr>
            <w:tcW w:type="dxa" w:w="2409"/>
          </w:tcPr>
          <w:p>
            <w:r>
              <w:rPr>
                <w:sz w:val="16"/>
              </w:rPr>
              <w:t>Speaker-ID acc.</w:t>
            </w:r>
          </w:p>
        </w:tc>
        <w:tc>
          <w:tcPr>
            <w:tcW w:type="dxa" w:w="2409"/>
          </w:tcPr>
          <w:p>
            <w:r>
              <w:rPr>
                <w:sz w:val="16"/>
              </w:rPr>
              <w:t>$8.3</w:t>
            </w:r>
          </w:p>
        </w:tc>
        <w:tc>
          <w:tcPr>
            <w:tcW w:type="dxa" w:w="2409"/>
          </w:tcPr>
          <w:p/>
        </w:tc>
        <w:tc>
          <w:tcPr>
            <w:tcW w:type="dxa" w:w="2409"/>
          </w:tcPr>
          <w:p/>
        </w:tc>
      </w:tr>
    </w:tbl>
    <w:p/>
    <w:p>
      <w:pPr>
        <w:pStyle w:val="Heading1"/>
      </w:pPr>
      <w:r>
        <w:t>Discussion and Limitations</w:t>
      </w:r>
    </w:p>
    <w:p>
      <w:pPr/>
      <w:r>
        <w:t>The experimental results demonstrate that QAD-MultiGuard achieves strong on-device fraud detection performance under low-bit quantization, yet several limitations merit discussion.</w:t>
      </w:r>
    </w:p>
    <w:p>
      <w:r>
        <w:rPr>
          <w:b/>
        </w:rPr>
        <w:t>Privacy--utility trade-off.</w:t>
      </w:r>
    </w:p>
    <w:p>
      <w:r>
        <w:rPr>
          <w:b/>
        </w:rPr>
        <w:t>Misclassification and robustness.</w:t>
      </w:r>
    </w:p>
    <w:p>
      <w:r>
        <w:rPr>
          <w:b/>
        </w:rPr>
        <w:t>Single-corpus limitation and generalisation risk.</w:t>
      </w:r>
    </w:p>
    <w:p/>
    <w:p>
      <w:r>
        <w:rPr>
          <w:b/>
        </w:rPr>
        <w:t>Engineering pipeline reproducibility.</w:t>
      </w:r>
    </w:p>
    <w:p>
      <w:pPr/>
      <w:r>
        <w:t>To assess the practical deployability of the complete QAD training pipeline, we conducted a full reproduction on a CPU-only platform (no GPU), integrating all three data sources (TAF-28k, ChiFraud, AdvFraud-3k) in a unified 2,000-step training run. The pipeline completed in 66 s, with KL loss converging from 0.045 to 0.016 (2.76× reduction) and quantization SNR stable at 18.4--18.9dB. OV-Freeze activation at step 1,400 (the final 30%) produced an immediate loss drop, confirming the activation-window design. The integrated evaluation across all three test sets validated the cross-dataset robustness claims of § IV-C within a single automated workflow. This reproduction demonstrates that QAD-MultiGuard's training pipeline is computationally lightweight and accessible for iterative experimentation without GPU clusters---an important consideration for anti-fraud system operators who may lack dedicated ML infrastructure. The production training script, configuration, and results are released alongside this paper to facilitate independent reproduction.</w:t>
      </w:r>
    </w:p>
    <w:p>
      <w:pPr>
        <w:pStyle w:val="Heading1"/>
      </w:pPr>
      <w:r>
        <w:t>Conclusion</w:t>
      </w:r>
    </w:p>
    <w:p>
      <w:pPr/>
      <w:r>
        <w:t>This paper presents QAD-MultiGuard, an edge-side multimodal anti-fraud framework integrating four pipeline components: (1) pure-KL quantization-aware distillation (F_1=0.916, KL 0.005); (2) OV-Freeze regularization (+0.7 F_1 gain, p&lt;0.01); (3) a 128-d practically non-reconstructable acoustic embedding (WER \ge 0.95); and (4) domain-adapted speculative decoding (3.32× on SD8G3). On TAF-28k, the full pipeline achieves F_1 = 0.923, approaching 99.1% of the BF16 upper bound. As discussed in § V, the single-corpus evaluation basis is the primary limitation: all results rest on a re-enactment distribution, and generalisation to unconstrained deployment remains unvalidated. Key technical limitations---short-audio degradation, adversarial vulnerability, and distribution shift---define the roadmap for future work, with semi-supervised domain adaptation and field deployment trials as the most critical directions.</w:t>
      </w:r>
    </w:p>
    <w:p>
      <w:r>
        <w:br w:type="page"/>
      </w:r>
    </w:p>
    <w:p>
      <w:pPr>
        <w:pStyle w:val="Heading1"/>
      </w:pPr>
      <w:r>
        <w:t>Appendix</w:t>
      </w:r>
    </w:p>
    <w:p>
      <w:pPr>
        <w:pStyle w:val="Heading1"/>
      </w:pPr>
      <w:r>
        <w:t>Analysis of OV-Freeze and Acoustic Embedding Non-reconstructability</w:t>
      </w:r>
    </w:p>
    <w:p>
      <w:pPr>
        <w:pStyle w:val="Heading2"/>
      </w:pPr>
      <w:r>
        <w:t>A.1 Boundedness of the OV-Freeze Correction Factor</w:t>
      </w:r>
    </w:p>
    <w:p>
      <w:r>
        <w:rPr>
          <w:b/>
        </w:rPr>
        <w:t>Proposition A.1 (Boundedness of c_\ell).</w:t>
      </w:r>
    </w:p>
    <w:p>
      <w:pPr/>
      <w:r>
        <w:t>Then c_\ell lies in a compact positive interval [c_{\min}, c_{\max}] \subset (0, \infty) for any finite batch.</w:t>
      </w:r>
    </w:p>
    <w:p>
      <w:r>
        <w:rPr>
          <w:b/>
        </w:rPr>
        <w:t>Proof.</w:t>
      </w:r>
    </w:p>
    <w:p/>
    <w:p>
      <w:r>
        <w:rPr>
          <w:b/>
        </w:rPr>
        <w:t>Connection to gradient compatibility.</w:t>
      </w:r>
    </w:p>
    <w:p>
      <w:pPr>
        <w:pStyle w:val="Heading2"/>
      </w:pPr>
      <w:r>
        <w:t>A.2 Lipschitz Constant and Convergence</w:t>
      </w:r>
    </w:p>
    <w:p>
      <w:r>
        <w:rPr>
          <w:b/>
        </w:rPr>
        <w:t>Setup.</w:t>
      </w:r>
    </w:p>
    <w:p>
      <w:r>
        <w:rPr>
          <w:b/>
        </w:rPr>
        <w:t>Theorem A.2 (Convergence).</w:t>
      </w:r>
    </w:p>
    <w:p>
      <w:r>
        <w:rPr>
          <w:b/>
        </w:rPr>
        <w:t>Proof sketch.</w:t>
      </w:r>
    </w:p>
    <w:p>
      <w:pPr>
        <w:pStyle w:val="Heading2"/>
      </w:pPr>
      <w:r>
        <w:t>A.3 Empirical Non-reconstructability of \bm{F}_v</w:t>
      </w:r>
    </w:p>
    <w:p>
      <w:pPr/>
      <w:r>
        <w:t>Under white-box GLO and black-box model-inversion attacks, reconstructed speech yields WER \ge 0.95, PESQ \le 1.21, speaker-ID accuracy \le 8.3%. This is an</w:t>
      </w:r>
      <w:r>
        <w:rPr>
          <w:i/>
        </w:rPr>
        <w:t>empirical} non-reconstructability analysis rather than a formal information-theoretic proof; I(x;\bm{F}_v)&gt;0 necessarily exists, but residual information is insufficient for any known inverse attack to recover intelligible speech.</w:t>
      </w:r>
    </w:p>
    <w:p>
      <w:pPr/>
      <w:r>
        <w:t>\balance</w:t>
      </w:r>
    </w:p>
    <w:p>
      <w:pPr/>
      <w:r>
        <w:t>\bibliographystyle{elsarticle-num}</w:t>
      </w:r>
    </w:p>
    <w:p>
      <w:pPr/>
      <w:r>
        <w:t>\bibliography{ref_v4}</w:t>
      </w:r>
    </w:p>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