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【PRD】</w:t>
      </w:r>
      <w:r>
        <w:rPr>
          <w:rFonts w:hint="eastAsia" w:ascii="微软雅黑" w:hAnsi="微软雅黑" w:eastAsia="微软雅黑" w:cs="微软雅黑"/>
          <w:sz w:val="32"/>
          <w:szCs w:val="32"/>
          <w:lang w:eastAsia="zh-CN"/>
        </w:rPr>
        <w:t>社区后台</w:t>
      </w:r>
      <w:r>
        <w:rPr>
          <w:rFonts w:hint="eastAsia" w:ascii="微软雅黑" w:hAnsi="微软雅黑" w:eastAsia="微软雅黑" w:cs="微软雅黑"/>
          <w:sz w:val="32"/>
          <w:szCs w:val="32"/>
          <w:lang w:val="en-US" w:eastAsia="zh-CN"/>
        </w:rPr>
        <w:t>编辑器管理-转场管理</w:t>
      </w:r>
      <w:r>
        <w:rPr>
          <w:rFonts w:hint="eastAsia" w:ascii="微软雅黑" w:hAnsi="微软雅黑" w:eastAsia="微软雅黑" w:cs="微软雅黑"/>
          <w:sz w:val="32"/>
          <w:szCs w:val="32"/>
        </w:rPr>
        <w:t>需求文档</w:t>
      </w: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tbl>
      <w:tblPr>
        <w:tblStyle w:val="7"/>
        <w:tblW w:w="7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072"/>
        <w:gridCol w:w="170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文档版本：</w:t>
            </w:r>
          </w:p>
        </w:tc>
        <w:tc>
          <w:tcPr>
            <w:tcW w:w="2072" w:type="dxa"/>
          </w:tcPr>
          <w:p>
            <w:pPr>
              <w:ind w:firstLine="0" w:firstLineChars="0"/>
              <w:jc w:val="left"/>
              <w:rPr>
                <w:rFonts w:ascii="微软雅黑" w:hAnsi="微软雅黑" w:eastAsia="微软雅黑"/>
                <w:szCs w:val="21"/>
              </w:rPr>
            </w:pPr>
            <w:r>
              <w:rPr>
                <w:rFonts w:hint="eastAsia" w:ascii="微软雅黑" w:hAnsi="微软雅黑" w:eastAsia="微软雅黑"/>
                <w:szCs w:val="21"/>
              </w:rPr>
              <w:t>V1.0.0</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文档编号：</w:t>
            </w:r>
          </w:p>
        </w:tc>
        <w:tc>
          <w:tcPr>
            <w:tcW w:w="2361" w:type="dxa"/>
          </w:tcPr>
          <w:p>
            <w:pPr>
              <w:ind w:firstLine="0" w:firstLineChars="0"/>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文档密级：</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保密</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所属部门：</w:t>
            </w:r>
          </w:p>
        </w:tc>
        <w:tc>
          <w:tcPr>
            <w:tcW w:w="2361" w:type="dxa"/>
          </w:tcPr>
          <w:p>
            <w:pPr>
              <w:ind w:firstLine="0" w:firstLineChars="0"/>
              <w:jc w:val="left"/>
              <w:rPr>
                <w:rFonts w:ascii="微软雅黑" w:hAnsi="微软雅黑" w:eastAsia="微软雅黑"/>
                <w:szCs w:val="21"/>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项目名称：</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编辑器管理后台</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系统名称：</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eastAsia="zh-CN"/>
              </w:rPr>
              <w:t>智云社区后台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编写人员：</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编写日期：</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25</w:t>
            </w:r>
          </w:p>
        </w:tc>
      </w:tr>
    </w:tbl>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微软雅黑" w:hAnsi="微软雅黑" w:eastAsia="微软雅黑"/>
          <w:szCs w:val="21"/>
        </w:rPr>
        <w:t>修订记录</w:t>
      </w:r>
    </w:p>
    <w:p>
      <w:pPr>
        <w:rPr>
          <w:rFonts w:hint="eastAsia"/>
        </w:rPr>
      </w:pPr>
    </w:p>
    <w:tbl>
      <w:tblPr>
        <w:tblStyle w:val="7"/>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555"/>
        <w:gridCol w:w="172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版本号</w:t>
            </w:r>
          </w:p>
        </w:tc>
        <w:tc>
          <w:tcPr>
            <w:tcW w:w="1555"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修订人</w:t>
            </w:r>
          </w:p>
        </w:tc>
        <w:tc>
          <w:tcPr>
            <w:tcW w:w="1723"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修订日期</w:t>
            </w:r>
          </w:p>
        </w:tc>
        <w:tc>
          <w:tcPr>
            <w:tcW w:w="360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tcPr>
          <w:p>
            <w:pPr>
              <w:ind w:firstLine="0" w:firstLineChars="0"/>
              <w:jc w:val="center"/>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23" w:type="dxa"/>
          </w:tcPr>
          <w:p>
            <w:pPr>
              <w:ind w:firstLine="0" w:firstLineChars="0"/>
              <w:jc w:val="left"/>
              <w:rPr>
                <w:rFonts w:hint="default" w:ascii="微软雅黑" w:hAnsi="微软雅黑" w:eastAsia="微软雅黑"/>
                <w:szCs w:val="21"/>
                <w:lang w:val="en-US" w:eastAsia="zh-CN"/>
              </w:rPr>
            </w:pPr>
            <w:r>
              <w:rPr>
                <w:rFonts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25</w:t>
            </w:r>
          </w:p>
        </w:tc>
        <w:tc>
          <w:tcPr>
            <w:tcW w:w="3601" w:type="dxa"/>
          </w:tcPr>
          <w:p>
            <w:pPr>
              <w:ind w:firstLine="0" w:firstLineChars="0"/>
              <w:jc w:val="left"/>
              <w:rPr>
                <w:rFonts w:ascii="微软雅黑" w:hAnsi="微软雅黑" w:eastAsia="微软雅黑"/>
                <w:szCs w:val="21"/>
              </w:rPr>
            </w:pPr>
            <w:r>
              <w:rPr>
                <w:rFonts w:hint="eastAsia" w:ascii="微软雅黑" w:hAnsi="微软雅黑" w:eastAsia="微软雅黑"/>
                <w:szCs w:val="21"/>
              </w:rPr>
              <w:t>1.创建文档</w:t>
            </w:r>
          </w:p>
        </w:tc>
      </w:tr>
    </w:tbl>
    <w:p>
      <w:pPr>
        <w:rPr>
          <w:rFonts w:hint="eastAsia" w:eastAsiaTheme="minorEastAsia"/>
          <w:lang w:val="en-US" w:eastAsia="zh-CN"/>
        </w:rPr>
        <w:sectPr>
          <w:headerReference r:id="rId3" w:type="default"/>
          <w:footerReference r:id="rId4" w:type="default"/>
          <w:pgSz w:w="11906" w:h="16838"/>
          <w:pgMar w:top="1440" w:right="1800" w:bottom="1440" w:left="1800" w:header="0" w:footer="964" w:gutter="0"/>
          <w:pgNumType w:fmt="decimal"/>
          <w:cols w:space="425" w:num="1"/>
          <w:docGrid w:type="lines" w:linePitch="312" w:charSpace="0"/>
        </w:sectPr>
      </w:pPr>
    </w:p>
    <w:p>
      <w:pPr>
        <w:pStyle w:val="2"/>
        <w:numPr>
          <w:ilvl w:val="0"/>
          <w:numId w:val="1"/>
        </w:numPr>
        <w:spacing w:before="163" w:after="163"/>
        <w:rPr>
          <w:rFonts w:hint="eastAsia" w:ascii="微软雅黑" w:hAnsi="微软雅黑" w:eastAsia="微软雅黑" w:cs="微软雅黑"/>
          <w:color w:val="000000" w:themeColor="text1"/>
          <w14:textFill>
            <w14:solidFill>
              <w14:schemeClr w14:val="tx1"/>
            </w14:solidFill>
          </w14:textFill>
        </w:rPr>
      </w:pPr>
      <w:bookmarkStart w:id="0" w:name="_Toc12554"/>
      <w:bookmarkStart w:id="1" w:name="_Toc20346281"/>
      <w:r>
        <w:rPr>
          <w:rFonts w:hint="eastAsia" w:ascii="微软雅黑" w:hAnsi="微软雅黑" w:eastAsia="微软雅黑" w:cs="微软雅黑"/>
          <w:color w:val="000000" w:themeColor="text1"/>
          <w14:textFill>
            <w14:solidFill>
              <w14:schemeClr w14:val="tx1"/>
            </w14:solidFill>
          </w14:textFill>
        </w:rPr>
        <w:t>系统概述</w:t>
      </w:r>
      <w:bookmarkEnd w:id="0"/>
      <w:bookmarkEnd w:id="1"/>
    </w:p>
    <w:p>
      <w:pPr>
        <w:pStyle w:val="3"/>
        <w:spacing w:before="163" w:after="163"/>
        <w:rPr>
          <w:rFonts w:hint="eastAsia" w:ascii="微软雅黑" w:hAnsi="微软雅黑" w:eastAsia="微软雅黑" w:cs="微软雅黑"/>
          <w:color w:val="000000" w:themeColor="text1"/>
          <w14:textFill>
            <w14:solidFill>
              <w14:schemeClr w14:val="tx1"/>
            </w14:solidFill>
          </w14:textFill>
        </w:rPr>
      </w:pPr>
      <w:bookmarkStart w:id="2" w:name="_Toc11118"/>
      <w:bookmarkStart w:id="3" w:name="_Toc20346282"/>
      <w:r>
        <w:rPr>
          <w:rFonts w:hint="eastAsia" w:ascii="微软雅黑" w:hAnsi="微软雅黑" w:eastAsia="微软雅黑" w:cs="微软雅黑"/>
          <w:color w:val="000000" w:themeColor="text1"/>
          <w14:textFill>
            <w14:solidFill>
              <w14:schemeClr w14:val="tx1"/>
            </w14:solidFill>
          </w14:textFill>
        </w:rPr>
        <w:t>1.1</w:t>
      </w:r>
      <w:r>
        <w:rPr>
          <w:rFonts w:hint="eastAsia"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背景</w:t>
      </w:r>
      <w:bookmarkEnd w:id="2"/>
      <w:bookmarkEnd w:id="3"/>
    </w:p>
    <w:p>
      <w:pPr>
        <w:numPr>
          <w:ilvl w:val="0"/>
          <w:numId w:val="2"/>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前台编辑器内置的资源不满足用户使用需求</w:t>
      </w:r>
    </w:p>
    <w:p>
      <w:pPr>
        <w:numPr>
          <w:ilvl w:val="0"/>
          <w:numId w:val="2"/>
        </w:numPr>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lang w:eastAsia="zh-CN"/>
        </w:rPr>
        <w:t>需要后台统一管理编辑器的转场资源</w:t>
      </w:r>
    </w:p>
    <w:p>
      <w:pPr>
        <w:pStyle w:val="3"/>
        <w:spacing w:before="163" w:after="163"/>
        <w:rPr>
          <w:rFonts w:hint="eastAsia" w:ascii="微软雅黑" w:hAnsi="微软雅黑" w:eastAsia="微软雅黑" w:cs="微软雅黑"/>
          <w:b w:val="0"/>
          <w:bCs w:val="0"/>
          <w:lang w:val="en-US" w:eastAsia="zh-CN"/>
        </w:rPr>
      </w:pPr>
      <w:bookmarkStart w:id="4" w:name="_Toc9654"/>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2 </w:t>
      </w:r>
      <w:r>
        <w:rPr>
          <w:rFonts w:hint="eastAsia" w:hAnsi="微软雅黑" w:eastAsia="微软雅黑" w:cs="微软雅黑"/>
          <w:color w:val="000000" w:themeColor="text1"/>
          <w:lang w:eastAsia="zh-CN"/>
          <w14:textFill>
            <w14:solidFill>
              <w14:schemeClr w14:val="tx1"/>
            </w14:solidFill>
          </w14:textFill>
        </w:rPr>
        <w:t>目标</w:t>
      </w:r>
      <w:bookmarkEnd w:id="4"/>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前台可从服务器下载更多的编辑器资源</w:t>
      </w:r>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后台可对下载编辑器转场资源进行管理</w:t>
      </w:r>
    </w:p>
    <w:p>
      <w:pPr>
        <w:pStyle w:val="3"/>
        <w:spacing w:before="163" w:after="163"/>
        <w:rPr>
          <w:rFonts w:hint="eastAsia"/>
          <w:lang w:val="en-US" w:eastAsia="zh-CN"/>
        </w:rPr>
      </w:pPr>
      <w:bookmarkStart w:id="5" w:name="_Toc21048"/>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3 </w:t>
      </w:r>
      <w:r>
        <w:rPr>
          <w:rFonts w:hint="eastAsia" w:hAnsi="微软雅黑" w:eastAsia="微软雅黑" w:cs="微软雅黑"/>
          <w:color w:val="000000" w:themeColor="text1"/>
          <w:lang w:eastAsia="zh-CN"/>
          <w14:textFill>
            <w14:solidFill>
              <w14:schemeClr w14:val="tx1"/>
            </w14:solidFill>
          </w14:textFill>
        </w:rPr>
        <w:t>功能需求</w:t>
      </w:r>
      <w:bookmarkEnd w:id="5"/>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8"/>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w:t>
            </w:r>
          </w:p>
        </w:tc>
        <w:tc>
          <w:tcPr>
            <w:tcW w:w="6094"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转场管理</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管理编辑器转场，可新增、编辑、删除转场</w:t>
            </w:r>
          </w:p>
        </w:tc>
      </w:tr>
    </w:tbl>
    <w:p>
      <w:pPr>
        <w:widowControl w:val="0"/>
        <w:numPr>
          <w:ilvl w:val="0"/>
          <w:numId w:val="0"/>
        </w:numPr>
        <w:jc w:val="both"/>
        <w:rPr>
          <w:rFonts w:hint="eastAsia" w:ascii="微软雅黑" w:hAnsi="微软雅黑" w:eastAsia="微软雅黑" w:cs="微软雅黑"/>
          <w:b w:val="0"/>
          <w:bCs w:val="0"/>
          <w:lang w:val="en-US" w:eastAsia="zh-CN"/>
        </w:rPr>
      </w:pPr>
    </w:p>
    <w:p>
      <w:pPr>
        <w:pStyle w:val="2"/>
        <w:numPr>
          <w:ilvl w:val="0"/>
          <w:numId w:val="1"/>
        </w:numPr>
        <w:spacing w:before="163" w:after="163"/>
        <w:ind w:left="0" w:leftChars="0" w:firstLine="0" w:firstLineChars="0"/>
        <w:rPr>
          <w:rFonts w:hint="eastAsia" w:ascii="微软雅黑" w:hAnsi="微软雅黑" w:eastAsia="微软雅黑" w:cs="微软雅黑"/>
          <w:color w:val="000000" w:themeColor="text1"/>
          <w:lang w:eastAsia="zh-CN"/>
          <w14:textFill>
            <w14:solidFill>
              <w14:schemeClr w14:val="tx1"/>
            </w14:solidFill>
          </w14:textFill>
        </w:rPr>
      </w:pPr>
      <w:bookmarkStart w:id="6" w:name="_Toc13204"/>
      <w:r>
        <w:rPr>
          <w:rFonts w:hint="eastAsia" w:ascii="微软雅黑" w:hAnsi="微软雅黑" w:eastAsia="微软雅黑" w:cs="微软雅黑"/>
          <w:color w:val="000000" w:themeColor="text1"/>
          <w:lang w:eastAsia="zh-CN"/>
          <w14:textFill>
            <w14:solidFill>
              <w14:schemeClr w14:val="tx1"/>
            </w14:solidFill>
          </w14:textFill>
        </w:rPr>
        <w:t>需求说明</w:t>
      </w:r>
      <w:bookmarkEnd w:id="6"/>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管理转场文件，可新增、编辑、删除</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可在列表中修改转场的排序值及上下架状态</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p>
    <w:p>
      <w:pPr>
        <w:widowControl w:val="0"/>
        <w:numPr>
          <w:ilvl w:val="0"/>
          <w:numId w:val="0"/>
        </w:numPr>
        <w:jc w:val="both"/>
      </w:pPr>
      <w:r>
        <w:drawing>
          <wp:inline distT="0" distB="0" distL="114300" distR="114300">
            <wp:extent cx="5261610" cy="3101975"/>
            <wp:effectExtent l="0" t="0" r="152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 转场列表</w:t>
      </w:r>
    </w:p>
    <w:p>
      <w:pPr>
        <w:widowControl w:val="0"/>
        <w:numPr>
          <w:ilvl w:val="0"/>
          <w:numId w:val="0"/>
        </w:numPr>
        <w:jc w:val="both"/>
      </w:pPr>
      <w:r>
        <w:drawing>
          <wp:inline distT="0" distB="0" distL="114300" distR="114300">
            <wp:extent cx="5261610" cy="310197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 新增/编辑转场</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（一）转场列表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6"/>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点击编辑器管理--转场管理--转场列表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搜索：可搜索编号和转场名称，模糊搜索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标题：最多显示20字符，超过20个字符标题末尾用“...”代替，名称语言展示的优先级为简体中文&gt;繁体中文&gt;英文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下载量：该转场下载量之和，该转场在App被下载时，下载量+1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创建时间：成功创建的时间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鼠标悬浮在排序值上显示提示信息（如原型所示）</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点击显示输入框可修改排序值，修改数值后回车或输入框光标失去焦点时完成修改，此时输入框隐藏，只显示数值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排序值范围为1-9999，只可填写整数，填写小数后回车，排序值取四舍五入的整数</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排序值填写不在范围内，弹框提示“排序值输入范围为1-9999”，点击确定后返回修改前的数值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排序值影响App转场的排列顺序，数值大的在前，数值相同时按创建时间倒序展示</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上架状态：显示字体的上下架状态</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编辑：点击进入编辑转场页面</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删除：点击弹框“是否确定删除？”，点击确定后删除</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点击“新增转场”，跳转到新增转场页面</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点击“编辑”，跳转到编辑转场页面</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（二）新增/编辑转场</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14"/>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在字体列表点击“新增转场”或选择编辑某个转场</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点击“编辑”进入该页面时，带上上一次提交的信息，上传按钮置灰无法修改</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转场名称：</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限制字符为50，超过则无法继续输入字符</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没有填的语言，在前台App语言设置为该语言时，不显示该字体</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转场文件：</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ZYPlay和Z-Film的文件格式不一样，需要上传两套不同的格式，但对应的是一个转场</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格式为ZYPlay的可以应用于ZYPlay App和莱塔社App；格式Z-Film的可以应用于ZY Cama App</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可上传文件名称格式为：转场名称.后缀名（后缀根据App规定的转场格式）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上传过程中：显示上传进度条、文件名称及后缀、文件大小，此时选择文件按钮置灰</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上传完成：进度条显示100%的进度，此时选择文件按钮可点击，点击可重新上传</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主图标：</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主图标为App选择转场时展示的图标</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可上传文件后缀为png、jpg</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上传过程中：显示上传进度条、缩略图，此时选择文件按钮置灰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上传完成：进度条显示100%的进度，此时缩略图点击可放大查看，选择文件按钮可点击，点击可重新上传</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副图标：副图标为展示在片段之间的转场图标，上传逻辑同主图标</w:t>
      </w:r>
      <w:bookmarkStart w:id="7" w:name="_GoBack"/>
      <w:bookmarkEnd w:id="7"/>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5"/>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提交：点击提交，校验必填项是否填写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校验成功，创建字体并返回字体列表页</w:t>
      </w:r>
    </w:p>
    <w:p>
      <w:pPr>
        <w:widowControl w:val="0"/>
        <w:numPr>
          <w:ilvl w:val="0"/>
          <w:numId w:val="15"/>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异常情况导致失败，弹框提示“提交失败，请重试”，点击确定后关闭弹框停留在当前页面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2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点击“返回”返回列表页</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点击“取消”返回列表页</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点击“提交”创建成功返回列表页</w:t>
      </w:r>
    </w:p>
    <w:p>
      <w:pPr>
        <w:widowControl w:val="0"/>
        <w:numPr>
          <w:ilvl w:val="0"/>
          <w:numId w:val="0"/>
        </w:numPr>
        <w:jc w:val="both"/>
        <w:rPr>
          <w:rFonts w:hint="default" w:ascii="微软雅黑" w:hAnsi="微软雅黑" w:eastAsia="微软雅黑" w:cs="微软雅黑"/>
          <w:b w:val="0"/>
          <w:bCs w:val="0"/>
          <w:sz w:val="21"/>
          <w:szCs w:val="21"/>
          <w:lang w:val="en-US" w:eastAsia="zh-CN"/>
        </w:rPr>
      </w:pPr>
    </w:p>
    <w:p/>
    <w:p/>
    <w:sectPr>
      <w:pgSz w:w="11906" w:h="16838"/>
      <w:pgMar w:top="1440" w:right="1800" w:bottom="1440" w:left="1800" w:header="0" w:footer="1009"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drawing>
        <wp:inline distT="0" distB="0" distL="0" distR="0">
          <wp:extent cx="544195" cy="542290"/>
          <wp:effectExtent l="0" t="0" r="825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t>桂林智神信息技术股份有限公司</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5187A8"/>
    <w:multiLevelType w:val="singleLevel"/>
    <w:tmpl w:val="AA5187A8"/>
    <w:lvl w:ilvl="0" w:tentative="0">
      <w:start w:val="1"/>
      <w:numFmt w:val="bullet"/>
      <w:lvlText w:val=""/>
      <w:lvlJc w:val="left"/>
      <w:pPr>
        <w:ind w:left="420" w:hanging="420"/>
      </w:pPr>
      <w:rPr>
        <w:rFonts w:hint="default" w:ascii="Wingdings" w:hAnsi="Wingdings"/>
      </w:rPr>
    </w:lvl>
  </w:abstractNum>
  <w:abstractNum w:abstractNumId="1">
    <w:nsid w:val="AF645EEF"/>
    <w:multiLevelType w:val="singleLevel"/>
    <w:tmpl w:val="AF645EEF"/>
    <w:lvl w:ilvl="0" w:tentative="0">
      <w:start w:val="1"/>
      <w:numFmt w:val="bullet"/>
      <w:lvlText w:val=""/>
      <w:lvlJc w:val="left"/>
      <w:pPr>
        <w:ind w:left="420" w:hanging="420"/>
      </w:pPr>
      <w:rPr>
        <w:rFonts w:hint="default" w:ascii="Wingdings" w:hAnsi="Wingdings"/>
      </w:rPr>
    </w:lvl>
  </w:abstractNum>
  <w:abstractNum w:abstractNumId="2">
    <w:nsid w:val="C3E8808B"/>
    <w:multiLevelType w:val="singleLevel"/>
    <w:tmpl w:val="C3E8808B"/>
    <w:lvl w:ilvl="0" w:tentative="0">
      <w:start w:val="1"/>
      <w:numFmt w:val="decimal"/>
      <w:suff w:val="space"/>
      <w:lvlText w:val="%1."/>
      <w:lvlJc w:val="left"/>
    </w:lvl>
  </w:abstractNum>
  <w:abstractNum w:abstractNumId="3">
    <w:nsid w:val="D050CB2C"/>
    <w:multiLevelType w:val="singleLevel"/>
    <w:tmpl w:val="D050CB2C"/>
    <w:lvl w:ilvl="0" w:tentative="0">
      <w:start w:val="1"/>
      <w:numFmt w:val="bullet"/>
      <w:lvlText w:val=""/>
      <w:lvlJc w:val="left"/>
      <w:pPr>
        <w:ind w:left="420" w:hanging="420"/>
      </w:pPr>
      <w:rPr>
        <w:rFonts w:hint="default" w:ascii="Wingdings" w:hAnsi="Wingdings"/>
      </w:rPr>
    </w:lvl>
  </w:abstractNum>
  <w:abstractNum w:abstractNumId="4">
    <w:nsid w:val="D271D406"/>
    <w:multiLevelType w:val="singleLevel"/>
    <w:tmpl w:val="D271D406"/>
    <w:lvl w:ilvl="0" w:tentative="0">
      <w:start w:val="1"/>
      <w:numFmt w:val="decimal"/>
      <w:suff w:val="space"/>
      <w:lvlText w:val="%1."/>
      <w:lvlJc w:val="left"/>
    </w:lvl>
  </w:abstractNum>
  <w:abstractNum w:abstractNumId="5">
    <w:nsid w:val="E1866285"/>
    <w:multiLevelType w:val="singleLevel"/>
    <w:tmpl w:val="E1866285"/>
    <w:lvl w:ilvl="0" w:tentative="0">
      <w:start w:val="1"/>
      <w:numFmt w:val="bullet"/>
      <w:lvlText w:val=""/>
      <w:lvlJc w:val="left"/>
      <w:pPr>
        <w:ind w:left="420" w:hanging="420"/>
      </w:pPr>
      <w:rPr>
        <w:rFonts w:hint="default" w:ascii="Wingdings" w:hAnsi="Wingdings"/>
      </w:rPr>
    </w:lvl>
  </w:abstractNum>
  <w:abstractNum w:abstractNumId="6">
    <w:nsid w:val="E361DD69"/>
    <w:multiLevelType w:val="singleLevel"/>
    <w:tmpl w:val="E361DD69"/>
    <w:lvl w:ilvl="0" w:tentative="0">
      <w:start w:val="1"/>
      <w:numFmt w:val="decimal"/>
      <w:suff w:val="space"/>
      <w:lvlText w:val="%1."/>
      <w:lvlJc w:val="left"/>
    </w:lvl>
  </w:abstractNum>
  <w:abstractNum w:abstractNumId="7">
    <w:nsid w:val="E9A216DF"/>
    <w:multiLevelType w:val="singleLevel"/>
    <w:tmpl w:val="E9A216DF"/>
    <w:lvl w:ilvl="0" w:tentative="0">
      <w:start w:val="1"/>
      <w:numFmt w:val="bullet"/>
      <w:lvlText w:val=""/>
      <w:lvlJc w:val="left"/>
      <w:pPr>
        <w:ind w:left="420" w:hanging="420"/>
      </w:pPr>
      <w:rPr>
        <w:rFonts w:hint="default" w:ascii="Wingdings" w:hAnsi="Wingdings"/>
      </w:rPr>
    </w:lvl>
  </w:abstractNum>
  <w:abstractNum w:abstractNumId="8">
    <w:nsid w:val="F75717DD"/>
    <w:multiLevelType w:val="singleLevel"/>
    <w:tmpl w:val="F75717DD"/>
    <w:lvl w:ilvl="0" w:tentative="0">
      <w:start w:val="1"/>
      <w:numFmt w:val="decimal"/>
      <w:suff w:val="space"/>
      <w:lvlText w:val="%1."/>
      <w:lvlJc w:val="left"/>
    </w:lvl>
  </w:abstractNum>
  <w:abstractNum w:abstractNumId="9">
    <w:nsid w:val="FA6D028F"/>
    <w:multiLevelType w:val="singleLevel"/>
    <w:tmpl w:val="FA6D028F"/>
    <w:lvl w:ilvl="0" w:tentative="0">
      <w:start w:val="1"/>
      <w:numFmt w:val="decimal"/>
      <w:suff w:val="space"/>
      <w:lvlText w:val="%1."/>
      <w:lvlJc w:val="left"/>
    </w:lvl>
  </w:abstractNum>
  <w:abstractNum w:abstractNumId="10">
    <w:nsid w:val="00278530"/>
    <w:multiLevelType w:val="singleLevel"/>
    <w:tmpl w:val="00278530"/>
    <w:lvl w:ilvl="0" w:tentative="0">
      <w:start w:val="1"/>
      <w:numFmt w:val="bullet"/>
      <w:lvlText w:val=""/>
      <w:lvlJc w:val="left"/>
      <w:pPr>
        <w:ind w:left="420" w:hanging="420"/>
      </w:pPr>
      <w:rPr>
        <w:rFonts w:hint="default" w:ascii="Wingdings" w:hAnsi="Wingdings"/>
      </w:rPr>
    </w:lvl>
  </w:abstractNum>
  <w:abstractNum w:abstractNumId="11">
    <w:nsid w:val="2D1FE8C4"/>
    <w:multiLevelType w:val="singleLevel"/>
    <w:tmpl w:val="2D1FE8C4"/>
    <w:lvl w:ilvl="0" w:tentative="0">
      <w:start w:val="1"/>
      <w:numFmt w:val="bullet"/>
      <w:lvlText w:val=""/>
      <w:lvlJc w:val="left"/>
      <w:pPr>
        <w:ind w:left="420" w:hanging="420"/>
      </w:pPr>
      <w:rPr>
        <w:rFonts w:hint="default" w:ascii="Wingdings" w:hAnsi="Wingdings"/>
      </w:rPr>
    </w:lvl>
  </w:abstractNum>
  <w:abstractNum w:abstractNumId="12">
    <w:nsid w:val="312E30DC"/>
    <w:multiLevelType w:val="singleLevel"/>
    <w:tmpl w:val="312E30DC"/>
    <w:lvl w:ilvl="0" w:tentative="0">
      <w:start w:val="1"/>
      <w:numFmt w:val="upperLetter"/>
      <w:suff w:val="space"/>
      <w:lvlText w:val="%1."/>
      <w:lvlJc w:val="left"/>
    </w:lvl>
  </w:abstractNum>
  <w:abstractNum w:abstractNumId="13">
    <w:nsid w:val="3549C4A0"/>
    <w:multiLevelType w:val="multilevel"/>
    <w:tmpl w:val="3549C4A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3816F338"/>
    <w:multiLevelType w:val="singleLevel"/>
    <w:tmpl w:val="3816F338"/>
    <w:lvl w:ilvl="0" w:tentative="0">
      <w:start w:val="1"/>
      <w:numFmt w:val="bullet"/>
      <w:lvlText w:val=""/>
      <w:lvlJc w:val="left"/>
      <w:pPr>
        <w:ind w:left="420" w:hanging="420"/>
      </w:pPr>
      <w:rPr>
        <w:rFonts w:hint="default" w:ascii="Wingdings" w:hAnsi="Wingdings"/>
      </w:rPr>
    </w:lvl>
  </w:abstractNum>
  <w:abstractNum w:abstractNumId="15">
    <w:nsid w:val="434F4085"/>
    <w:multiLevelType w:val="singleLevel"/>
    <w:tmpl w:val="434F4085"/>
    <w:lvl w:ilvl="0" w:tentative="0">
      <w:start w:val="1"/>
      <w:numFmt w:val="bullet"/>
      <w:lvlText w:val=""/>
      <w:lvlJc w:val="left"/>
      <w:pPr>
        <w:ind w:left="420" w:hanging="420"/>
      </w:pPr>
      <w:rPr>
        <w:rFonts w:hint="default" w:ascii="Wingdings" w:hAnsi="Wingdings"/>
      </w:rPr>
    </w:lvl>
  </w:abstractNum>
  <w:abstractNum w:abstractNumId="16">
    <w:nsid w:val="45A2AA74"/>
    <w:multiLevelType w:val="singleLevel"/>
    <w:tmpl w:val="45A2AA74"/>
    <w:lvl w:ilvl="0" w:tentative="0">
      <w:start w:val="1"/>
      <w:numFmt w:val="decimal"/>
      <w:suff w:val="space"/>
      <w:lvlText w:val="%1."/>
      <w:lvlJc w:val="left"/>
    </w:lvl>
  </w:abstractNum>
  <w:abstractNum w:abstractNumId="17">
    <w:nsid w:val="4B3B0F08"/>
    <w:multiLevelType w:val="singleLevel"/>
    <w:tmpl w:val="4B3B0F08"/>
    <w:lvl w:ilvl="0" w:tentative="0">
      <w:start w:val="1"/>
      <w:numFmt w:val="bullet"/>
      <w:lvlText w:val=""/>
      <w:lvlJc w:val="left"/>
      <w:pPr>
        <w:ind w:left="420" w:hanging="420"/>
      </w:pPr>
      <w:rPr>
        <w:rFonts w:hint="default" w:ascii="Wingdings" w:hAnsi="Wingdings"/>
      </w:rPr>
    </w:lvl>
  </w:abstractNum>
  <w:abstractNum w:abstractNumId="18">
    <w:nsid w:val="64166BA7"/>
    <w:multiLevelType w:val="singleLevel"/>
    <w:tmpl w:val="64166BA7"/>
    <w:lvl w:ilvl="0" w:tentative="0">
      <w:start w:val="1"/>
      <w:numFmt w:val="bullet"/>
      <w:lvlText w:val=""/>
      <w:lvlJc w:val="left"/>
      <w:pPr>
        <w:ind w:left="420" w:hanging="420"/>
      </w:pPr>
      <w:rPr>
        <w:rFonts w:hint="default" w:ascii="Wingdings" w:hAnsi="Wingdings"/>
      </w:rPr>
    </w:lvl>
  </w:abstractNum>
  <w:abstractNum w:abstractNumId="19">
    <w:nsid w:val="64F245E6"/>
    <w:multiLevelType w:val="singleLevel"/>
    <w:tmpl w:val="64F245E6"/>
    <w:lvl w:ilvl="0" w:tentative="0">
      <w:start w:val="1"/>
      <w:numFmt w:val="decimal"/>
      <w:suff w:val="space"/>
      <w:lvlText w:val="%1."/>
      <w:lvlJc w:val="left"/>
    </w:lvl>
  </w:abstractNum>
  <w:abstractNum w:abstractNumId="20">
    <w:nsid w:val="6C750A86"/>
    <w:multiLevelType w:val="singleLevel"/>
    <w:tmpl w:val="6C750A86"/>
    <w:lvl w:ilvl="0" w:tentative="0">
      <w:start w:val="1"/>
      <w:numFmt w:val="bullet"/>
      <w:lvlText w:val=""/>
      <w:lvlJc w:val="left"/>
      <w:pPr>
        <w:ind w:left="420" w:hanging="420"/>
      </w:pPr>
      <w:rPr>
        <w:rFonts w:hint="default" w:ascii="Wingdings" w:hAnsi="Wingdings"/>
      </w:rPr>
    </w:lvl>
  </w:abstractNum>
  <w:num w:numId="1">
    <w:abstractNumId w:val="13"/>
  </w:num>
  <w:num w:numId="2">
    <w:abstractNumId w:val="3"/>
  </w:num>
  <w:num w:numId="3">
    <w:abstractNumId w:val="7"/>
  </w:num>
  <w:num w:numId="4">
    <w:abstractNumId w:val="8"/>
  </w:num>
  <w:num w:numId="5">
    <w:abstractNumId w:val="10"/>
  </w:num>
  <w:num w:numId="6">
    <w:abstractNumId w:val="16"/>
  </w:num>
  <w:num w:numId="7">
    <w:abstractNumId w:val="4"/>
  </w:num>
  <w:num w:numId="8">
    <w:abstractNumId w:val="18"/>
  </w:num>
  <w:num w:numId="9">
    <w:abstractNumId w:val="20"/>
  </w:num>
  <w:num w:numId="10">
    <w:abstractNumId w:val="15"/>
  </w:num>
  <w:num w:numId="11">
    <w:abstractNumId w:val="12"/>
  </w:num>
  <w:num w:numId="12">
    <w:abstractNumId w:val="17"/>
  </w:num>
  <w:num w:numId="13">
    <w:abstractNumId w:val="2"/>
  </w:num>
  <w:num w:numId="14">
    <w:abstractNumId w:val="9"/>
  </w:num>
  <w:num w:numId="15">
    <w:abstractNumId w:val="6"/>
  </w:num>
  <w:num w:numId="16">
    <w:abstractNumId w:val="0"/>
  </w:num>
  <w:num w:numId="17">
    <w:abstractNumId w:val="14"/>
  </w:num>
  <w:num w:numId="18">
    <w:abstractNumId w:val="5"/>
  </w:num>
  <w:num w:numId="19">
    <w:abstractNumId w:val="1"/>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023E8"/>
    <w:rsid w:val="42D72B97"/>
    <w:rsid w:val="47E0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Lines="50" w:afterLines="50"/>
      <w:outlineLvl w:val="0"/>
    </w:pPr>
    <w:rPr>
      <w:rFonts w:ascii="Cambria" w:hAnsi="Cambria" w:cs="Times New Roman"/>
      <w:b/>
      <w:bCs/>
      <w:sz w:val="32"/>
      <w:szCs w:val="28"/>
    </w:rPr>
  </w:style>
  <w:style w:type="paragraph" w:styleId="3">
    <w:name w:val="heading 2"/>
    <w:basedOn w:val="1"/>
    <w:next w:val="1"/>
    <w:unhideWhenUsed/>
    <w:qFormat/>
    <w:uiPriority w:val="9"/>
    <w:pPr>
      <w:keepNext/>
      <w:keepLines/>
      <w:widowControl w:val="0"/>
      <w:tabs>
        <w:tab w:val="left" w:pos="576"/>
      </w:tabs>
      <w:spacing w:beforeLines="50" w:afterLines="50"/>
      <w:outlineLvl w:val="1"/>
    </w:pPr>
    <w:rPr>
      <w:rFonts w:ascii="微软雅黑" w:cs="微软雅黑"/>
      <w:b/>
      <w:color w:val="000000"/>
      <w:sz w:val="30"/>
      <w:szCs w:val="2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2020-03-25T04:15:00Z</dcterms:created>
  <dc:creator>Administrator</dc:creator>
  <cp:lastModifiedBy>Administrator</cp:lastModifiedBy>
  <dcterms:modified xsi:type="dcterms:W3CDTF">2020-03-26T10:16:35Z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