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2E74B5" w:val="clear"/>
            <w:tcBorders>
              <w:top w:val="single" w:sz="0" w:space="0" w:color="2E74B5"/>
              <w:left w:val="single" w:sz="0" w:space="0" w:color="2E74B5"/>
              <w:bottom w:val="single" w:sz="0" w:space="0" w:color="2E74B5"/>
              <w:right w:val="single" w:sz="0" w:space="0" w:color="2E74B5"/>
            </w:tcBorders>
          </w:tcPr>
          <w:p/>
        </w:tc>
      </w:tr>
    </w:tbl>
    <w:p>
      <w:pPr>
        <w:spacing w:before="560" w:after="120"/>
        <w:jc w:val="center"/>
      </w:pPr>
      <w:r>
        <w:rPr>
          <w:rFonts w:ascii="Microsoft YaHei" w:hAnsi="Microsoft YaHei" w:eastAsia="Microsoft YaHei"/>
          <w:b/>
          <w:i w:val="0"/>
          <w:color w:val="1F4D78"/>
          <w:sz w:val="54"/>
        </w:rPr>
        <w:t>《钢铁共和国》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第一卷《废铁营》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i w:val="0"/>
          <w:color w:val="1F2937"/>
          <w:sz w:val="36"/>
        </w:rPr>
        <w:t>P2 修订交付说明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 w:val="0"/>
          <w:i w:val="0"/>
          <w:color w:val="6B7280"/>
          <w:sz w:val="22"/>
        </w:rPr>
        <w:t>第 111 至 117 章 · 发布前工作树说明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056"/>
      </w:tblGrid>
      <w:tr>
        <w:tc>
          <w:tcPr>
            <w:tcW w:type="dxa" w:w="4882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文档状态</w:t>
            </w:r>
          </w:p>
        </w:tc>
        <w:tc>
          <w:tcPr>
            <w:tcW w:type="dxa" w:w="4882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DRAFT / FINAL_REVIEW_REQUIRED</w:t>
            </w:r>
          </w:p>
        </w:tc>
      </w:tr>
      <w:tr>
        <w:tc>
          <w:tcPr>
            <w:tcW w:type="dxa" w:w="4882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编制日期</w:t>
            </w:r>
          </w:p>
        </w:tc>
        <w:tc>
          <w:tcPr>
            <w:tcW w:type="dxa" w:w="4882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2026-08-10</w:t>
            </w:r>
          </w:p>
        </w:tc>
      </w:tr>
      <w:tr>
        <w:tc>
          <w:tcPr>
            <w:tcW w:type="dxa" w:w="4882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正文核验范围</w:t>
            </w:r>
          </w:p>
        </w:tc>
        <w:tc>
          <w:tcPr>
            <w:tcW w:type="dxa" w:w="4882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第一卷第111至117章</w:t>
            </w:r>
          </w:p>
        </w:tc>
      </w:tr>
      <w:tr>
        <w:tc>
          <w:tcPr>
            <w:tcW w:type="dxa" w:w="4882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交付边界</w:t>
            </w:r>
          </w:p>
        </w:tc>
        <w:tc>
          <w:tcPr>
            <w:tcW w:type="dxa" w:w="4882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独立复审通过不等于作者验收、ACCEPTED或Canon晋级</w:t>
            </w:r>
          </w:p>
        </w:tc>
      </w:tr>
    </w:tbl>
    <w:p>
      <w:pPr>
        <w:spacing w:before="680" w:after="0"/>
        <w:jc w:val="center"/>
      </w:pPr>
      <w:r>
        <w:rPr>
          <w:rFonts w:ascii="Microsoft YaHei" w:hAnsi="Microsoft YaHei" w:eastAsia="Microsoft YaHei"/>
          <w:b w:val="0"/>
          <w:i/>
          <w:color w:val="6B7280"/>
          <w:sz w:val="19"/>
        </w:rPr>
        <w:t>本说明服务于本次 Git 交付与后续作者复审。</w:t>
      </w:r>
    </w:p>
    <w:p>
      <w:r>
        <w:br w:type="page"/>
      </w:r>
    </w:p>
    <w:p>
      <w:pPr>
        <w:pStyle w:val="Heading1"/>
        <w:keepNext/>
        <w:spacing w:before="0" w:after="160"/>
      </w:pPr>
      <w:r>
        <w:t>交付范围与状态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EAF2F8" w:val="clear"/>
            <w:tcBorders>
              <w:top w:val="single" w:sz="8" w:space="0" w:color="AFC6DA"/>
              <w:left w:val="single" w:sz="8" w:space="0" w:color="AFC6DA"/>
              <w:bottom w:val="single" w:sz="8" w:space="0" w:color="AFC6DA"/>
              <w:right w:val="single" w:sz="8" w:space="0" w:color="AFC6DA"/>
            </w:tcBorders>
          </w:tcPr>
          <w:p>
            <w:pPr>
              <w:spacing w:before="80" w:after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21"/>
              </w:rPr>
              <w:t>阅读提示</w:t>
            </w:r>
          </w:p>
          <w:p>
            <w:pPr>
              <w:spacing w:after="8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本文件是当前 P2 修订的交付说明，不是小说终稿，也不替代章节源文件、Canon 或作者验收。任何后续扩写、正典写回或状态晋级，仍须遵守仓库中的权威顺序与审批门槛。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本次纳入</w:t>
      </w:r>
    </w:p>
    <w:p>
      <w:pPr>
        <w:pStyle w:val="ListBullet"/>
        <w:spacing w:after="80"/>
      </w:pPr>
      <w:r>
        <w:t>第一卷《废铁营》工作树中的现有文本修订：第001至117章。</w:t>
      </w:r>
    </w:p>
    <w:p>
      <w:pPr>
        <w:pStyle w:val="ListBullet"/>
        <w:spacing w:after="80"/>
      </w:pPr>
      <w:r>
        <w:t>小说创作接入文档与审稿模板：novel-skill integration guide、literary review prompt 及其索引。</w:t>
      </w:r>
    </w:p>
    <w:p>
      <w:pPr>
        <w:pStyle w:val="ListBullet"/>
        <w:spacing w:after="80"/>
      </w:pPr>
      <w:r>
        <w:t>本说明逐章列出第111至117章的第二轮精修结果、篇幅校验和独立复审状态。</w:t>
      </w:r>
    </w:p>
    <w:p>
      <w:pPr>
        <w:pStyle w:val="Heading2"/>
        <w:keepNext/>
        <w:spacing w:before="120" w:after="80"/>
      </w:pPr>
      <w:r>
        <w:t>本次不作的判断</w:t>
      </w:r>
    </w:p>
    <w:p>
      <w:pPr>
        <w:pStyle w:val="ListBullet"/>
        <w:spacing w:after="80"/>
      </w:pPr>
      <w:r>
        <w:t>不把任何 DRAFT 标为 ACCEPTED，不把修订内容回写为 Canon。</w:t>
      </w:r>
    </w:p>
    <w:p>
      <w:pPr>
        <w:pStyle w:val="ListBullet"/>
        <w:spacing w:after="80"/>
      </w:pPr>
      <w:r>
        <w:t>不把第118至120章视为本轮 P2 已验收内容；它们仍需单独审计后再续写。</w:t>
      </w:r>
    </w:p>
    <w:p>
      <w:pPr>
        <w:pStyle w:val="ListBullet"/>
        <w:spacing w:after="80"/>
      </w:pPr>
      <w:r>
        <w:t>不以本说明取代 volume review、author acceptance 或后续的最终文学回读。</w:t>
      </w:r>
    </w:p>
    <w:p>
      <w:pPr>
        <w:pStyle w:val="Heading2"/>
        <w:keepNext/>
        <w:spacing w:before="120" w:after="80"/>
      </w:pPr>
      <w:r>
        <w:t>发布前核验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5976"/>
      </w:tblGrid>
      <w:tr>
        <w:trPr>
          <w:tblHeader w:val="true"/>
        </w:trPr>
        <w:tc>
          <w:tcPr>
            <w:tcW w:type="dxa" w:w="4882"/>
            <w:shd w:fill="1F4D78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核验项</w:t>
            </w:r>
          </w:p>
        </w:tc>
        <w:tc>
          <w:tcPr>
            <w:tcW w:type="dxa" w:w="4882"/>
            <w:shd w:fill="1F4D78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3168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章节篇幅</w:t>
            </w:r>
          </w:p>
        </w:tc>
        <w:tc>
          <w:tcPr>
            <w:tcW w:type="dxa" w:w="5976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第111至117章均达到 3000 汉字门槛。</w:t>
            </w:r>
          </w:p>
        </w:tc>
      </w:tr>
      <w:tr>
        <w:tc>
          <w:tcPr>
            <w:tcW w:type="dxa" w:w="3168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文本诊断</w:t>
            </w:r>
          </w:p>
        </w:tc>
        <w:tc>
          <w:tcPr>
            <w:tcW w:type="dxa" w:w="5976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七章均为 AI 纹理风险 1 / 10；保留必要术语，待最终文学回读。</w:t>
            </w:r>
          </w:p>
        </w:tc>
      </w:tr>
      <w:tr>
        <w:tc>
          <w:tcPr>
            <w:tcW w:type="dxa" w:w="3168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独立复审</w:t>
            </w:r>
          </w:p>
        </w:tc>
        <w:tc>
          <w:tcPr>
            <w:tcW w:type="dxa" w:w="5976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第111至117章均为 PASS / DRAFT，未产生作者验收。</w:t>
            </w:r>
          </w:p>
        </w:tc>
      </w:tr>
      <w:tr>
        <w:tc>
          <w:tcPr>
            <w:tcW w:type="dxa" w:w="3168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持续边界</w:t>
            </w:r>
          </w:p>
        </w:tc>
        <w:tc>
          <w:tcPr>
            <w:tcW w:type="dxa" w:w="5976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P2 场景保持局部、可见、可撤回；不建立机器行动、制度或长期承诺。</w:t>
            </w:r>
          </w:p>
        </w:tc>
      </w:tr>
    </w:tbl>
    <w:p>
      <w:r>
        <w:br w:type="page"/>
      </w:r>
    </w:p>
    <w:p>
      <w:pPr>
        <w:pStyle w:val="Heading1"/>
        <w:keepNext/>
        <w:spacing w:before="0" w:after="160"/>
      </w:pPr>
      <w:r>
        <w:t>第111至117章复核概览</w:t>
      </w:r>
    </w:p>
    <w:p>
      <w:pPr>
        <w:pStyle w:val="BodyText"/>
        <w:spacing w:after="160"/>
        <w:ind w:firstLine="0"/>
      </w:pPr>
      <w:r>
        <w:t>下表只记录本次 P2 第二轮精修的可验证状态；“通过”表示当前未发现阻断性连续性问题，仍需作者进行最终验收。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rPr>
          <w:tblHeader w:val="true"/>
        </w:trPr>
        <w:tc>
          <w:tcPr>
            <w:tcW w:type="dxa" w:w="893"/>
            <w:shd w:fill="1F4D78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章节</w:t>
            </w:r>
          </w:p>
        </w:tc>
        <w:tc>
          <w:tcPr>
            <w:tcW w:type="dxa" w:w="2189"/>
            <w:shd w:fill="1F4D78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本轮标题</w:t>
            </w:r>
          </w:p>
        </w:tc>
        <w:tc>
          <w:tcPr>
            <w:tcW w:type="dxa" w:w="2232"/>
            <w:shd w:fill="1F4D78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字数</w:t>
            </w:r>
          </w:p>
        </w:tc>
        <w:tc>
          <w:tcPr>
            <w:tcW w:type="dxa" w:w="3888"/>
            <w:shd w:fill="1F4D78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P2复核要点</w:t>
            </w:r>
          </w:p>
        </w:tc>
      </w:tr>
      <w:tr>
        <w:tc>
          <w:tcPr>
            <w:tcW w:type="dxa" w:w="893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111</w:t>
            </w:r>
          </w:p>
        </w:tc>
        <w:tc>
          <w:tcPr>
            <w:tcW w:type="dxa" w:w="2189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两格还是空着</w:t>
            </w:r>
          </w:p>
        </w:tc>
        <w:tc>
          <w:tcPr>
            <w:tcW w:type="dxa" w:w="2232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3030 / 3000</w:t>
            </w:r>
          </w:p>
        </w:tc>
        <w:tc>
          <w:tcPr>
            <w:tcW w:type="dxa" w:w="3888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门关着、未见里面；两格未勾，纸仍在湿外衣内袋。</w:t>
            </w:r>
          </w:p>
        </w:tc>
      </w:tr>
      <w:tr>
        <w:tc>
          <w:tcPr>
            <w:tcW w:type="dxa" w:w="893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112</w:t>
            </w:r>
          </w:p>
        </w:tc>
        <w:tc>
          <w:tcPr>
            <w:tcW w:type="dxa" w:w="2189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木片不是锁</w:t>
            </w:r>
          </w:p>
        </w:tc>
        <w:tc>
          <w:tcPr>
            <w:tcW w:type="dxa" w:w="2232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3294 / 3000</w:t>
            </w:r>
          </w:p>
        </w:tc>
        <w:tc>
          <w:tcPr>
            <w:tcW w:type="dxa" w:w="3888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细木片只暂顶柜门，不变成锁、职责或答案。</w:t>
            </w:r>
          </w:p>
        </w:tc>
      </w:tr>
      <w:tr>
        <w:tc>
          <w:tcPr>
            <w:tcW w:type="dxa" w:w="893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113</w:t>
            </w:r>
          </w:p>
        </w:tc>
        <w:tc>
          <w:tcPr>
            <w:tcW w:type="dxa" w:w="2189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湿衣没有落处</w:t>
            </w:r>
          </w:p>
        </w:tc>
        <w:tc>
          <w:tcPr>
            <w:tcW w:type="dxa" w:w="2232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3232 / 3000</w:t>
            </w:r>
          </w:p>
        </w:tc>
        <w:tc>
          <w:tcPr>
            <w:tcW w:type="dxa" w:w="3888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湿外衣与纸不进木柜，孩子未取得纸或最终落处。</w:t>
            </w:r>
          </w:p>
        </w:tc>
      </w:tr>
      <w:tr>
        <w:tc>
          <w:tcPr>
            <w:tcW w:type="dxa" w:w="893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114</w:t>
            </w:r>
          </w:p>
        </w:tc>
        <w:tc>
          <w:tcPr>
            <w:tcW w:type="dxa" w:w="2189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盆沿之外</w:t>
            </w:r>
          </w:p>
        </w:tc>
        <w:tc>
          <w:tcPr>
            <w:tcW w:type="dxa" w:w="2232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3116 / 3000</w:t>
            </w:r>
          </w:p>
        </w:tc>
        <w:tc>
          <w:tcPr>
            <w:tcW w:type="dxa" w:w="3888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空碗、木柜与木片不替有限见闻留位。</w:t>
            </w:r>
          </w:p>
        </w:tc>
      </w:tr>
      <w:tr>
        <w:tc>
          <w:tcPr>
            <w:tcW w:type="dxa" w:w="893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115</w:t>
            </w:r>
          </w:p>
        </w:tc>
        <w:tc>
          <w:tcPr>
            <w:tcW w:type="dxa" w:w="2189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只到这会儿</w:t>
            </w:r>
          </w:p>
        </w:tc>
        <w:tc>
          <w:tcPr>
            <w:tcW w:type="dxa" w:w="2232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3004 / 3000</w:t>
            </w:r>
          </w:p>
        </w:tc>
        <w:tc>
          <w:tcPr>
            <w:tcW w:type="dxa" w:w="3888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只确认盆水、床脚与柜门当前状态，未知不收束。</w:t>
            </w:r>
          </w:p>
        </w:tc>
      </w:tr>
      <w:tr>
        <w:tc>
          <w:tcPr>
            <w:tcW w:type="dxa" w:w="893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116</w:t>
            </w:r>
          </w:p>
        </w:tc>
        <w:tc>
          <w:tcPr>
            <w:tcW w:type="dxa" w:w="2189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一块练字板</w:t>
            </w:r>
          </w:p>
        </w:tc>
        <w:tc>
          <w:tcPr>
            <w:tcW w:type="dxa" w:w="2232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3003 / 3000</w:t>
            </w:r>
          </w:p>
        </w:tc>
        <w:tc>
          <w:tcPr>
            <w:tcW w:type="dxa" w:w="3888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孩子只用自己的练字板暂垫被角，承受字线变淡。</w:t>
            </w:r>
          </w:p>
        </w:tc>
      </w:tr>
      <w:tr>
        <w:tc>
          <w:tcPr>
            <w:tcW w:type="dxa" w:w="893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117</w:t>
            </w:r>
          </w:p>
        </w:tc>
        <w:tc>
          <w:tcPr>
            <w:tcW w:type="dxa" w:w="2189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字线先淡</w:t>
            </w:r>
          </w:p>
        </w:tc>
        <w:tc>
          <w:tcPr>
            <w:tcW w:type="dxa" w:w="2232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3030 / 3000</w:t>
            </w:r>
          </w:p>
        </w:tc>
        <w:tc>
          <w:tcPr>
            <w:tcW w:type="dxa" w:w="3888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板垫住被角的代价是字线变淡；纸、碗、木片不动。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EAF2F8" w:val="clear"/>
            <w:tcBorders>
              <w:top w:val="single" w:sz="8" w:space="0" w:color="AFC6DA"/>
              <w:left w:val="single" w:sz="8" w:space="0" w:color="AFC6DA"/>
              <w:bottom w:val="single" w:sz="8" w:space="0" w:color="AFC6DA"/>
              <w:right w:val="single" w:sz="8" w:space="0" w:color="AFC6DA"/>
            </w:tcBorders>
          </w:tcPr>
          <w:p>
            <w:pPr>
              <w:spacing w:before="80" w:after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21"/>
              </w:rPr>
              <w:t>状态解释</w:t>
            </w:r>
          </w:p>
          <w:p>
            <w:pPr>
              <w:spacing w:after="8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所有七章均保持 DRAFT / POLISH_PASS_2 / FINAL_REVIEW_REQUIRED。复审结果的作用是留下可追溯的审读证据，而不是替作者决定是否接纳、升格或写回台账。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0" w:after="160"/>
      </w:pPr>
      <w:r>
        <w:t>连续性边界与后续门控</w:t>
      </w:r>
    </w:p>
    <w:p>
      <w:pPr>
        <w:pStyle w:val="Heading2"/>
        <w:keepNext/>
        <w:spacing w:before="120" w:after="80"/>
      </w:pPr>
      <w:r>
        <w:t>权威顺序</w:t>
      </w:r>
    </w:p>
    <w:p>
      <w:pPr>
        <w:pStyle w:val="BodyText"/>
        <w:spacing w:after="160"/>
        <w:ind w:firstLine="0"/>
      </w:pPr>
      <w:r>
        <w:t>Canon 优先于已批准契约、卷内台账与大纲；后者优先于 DRAFT 正文和模板。DRAFT 修订不得静默改变 Canon，也不得用局部文本反推人物、技术、时间线或制度已经成立。</w:t>
      </w:r>
    </w:p>
    <w:p>
      <w:pPr>
        <w:pStyle w:val="Heading2"/>
        <w:keepNext/>
        <w:spacing w:before="120" w:after="80"/>
      </w:pPr>
      <w:r>
        <w:t>第111至117章的 P2 边界</w:t>
      </w:r>
    </w:p>
    <w:p>
      <w:pPr>
        <w:pStyle w:val="ListBullet"/>
        <w:spacing w:after="80"/>
      </w:pPr>
      <w:r>
        <w:t>时间与空间：SE84 同一雨夜的家庭局部场景；人物保持有限知识。</w:t>
      </w:r>
    </w:p>
    <w:p>
      <w:pPr>
        <w:pStyle w:val="ListBullet"/>
        <w:spacing w:after="80"/>
      </w:pPr>
      <w:r>
        <w:t>对象状态：未勾纸始终由父亲自持于湿外衣内袋；两只旧碗、细木片与木柜不承担新的保存、解释或规则功能。</w:t>
      </w:r>
    </w:p>
    <w:p>
      <w:pPr>
        <w:pStyle w:val="ListBullet"/>
        <w:spacing w:after="80"/>
      </w:pPr>
      <w:r>
        <w:t>叙事限制：不生成机器行动、身份结论、登记流程、公共制度、长期职责或未来承诺。</w:t>
      </w:r>
    </w:p>
    <w:p>
      <w:pPr>
        <w:pStyle w:val="Heading2"/>
        <w:keepNext/>
        <w:spacing w:before="120" w:after="80"/>
      </w:pPr>
      <w:r>
        <w:t>下一步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1800"/>
            <w:shd w:fill="1F4D78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7344"/>
            <w:shd w:fill="1F4D78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所需动作</w:t>
            </w:r>
          </w:p>
        </w:tc>
      </w:tr>
      <w:tr>
        <w:tc>
          <w:tcPr>
            <w:tcW w:type="dxa" w:w="1800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续写前</w:t>
            </w:r>
          </w:p>
        </w:tc>
        <w:tc>
          <w:tcPr>
            <w:tcW w:type="dxa" w:w="7344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对第118至120章执行独立上下文审计，避免从已失效的 P1 前提继续推导。</w:t>
            </w:r>
          </w:p>
        </w:tc>
      </w:tr>
      <w:tr>
        <w:tc>
          <w:tcPr>
            <w:tcW w:type="dxa" w:w="1800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完成后</w:t>
            </w:r>
          </w:p>
        </w:tc>
        <w:tc>
          <w:tcPr>
            <w:tcW w:type="dxa" w:w="7344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为新修订章运行篇幅、诊断、差异与独立复审；将审读证据写入 review ledger。</w:t>
            </w:r>
          </w:p>
        </w:tc>
      </w:tr>
      <w:tr>
        <w:tc>
          <w:tcPr>
            <w:tcW w:type="dxa" w:w="1800"/>
            <w:shd w:fill="F2F4F7" w:val="clear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作者验收</w:t>
            </w:r>
          </w:p>
        </w:tc>
        <w:tc>
          <w:tcPr>
            <w:tcW w:type="dxa" w:w="7344"/>
            <w:vAlign w:val="center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仅在作者明确接受后，才更新 ACCEPTED 状态与相应的持久化台账。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EAF2F8" w:val="clear"/>
            <w:tcBorders>
              <w:top w:val="single" w:sz="8" w:space="0" w:color="AFC6DA"/>
              <w:left w:val="single" w:sz="8" w:space="0" w:color="AFC6DA"/>
              <w:bottom w:val="single" w:sz="8" w:space="0" w:color="AFC6DA"/>
              <w:right w:val="single" w:sz="8" w:space="0" w:color="AFC6DA"/>
            </w:tcBorders>
          </w:tcPr>
          <w:p>
            <w:pPr>
              <w:spacing w:before="80" w:after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21"/>
              </w:rPr>
              <w:t>交付结论</w:t>
            </w:r>
          </w:p>
          <w:p>
            <w:pPr>
              <w:spacing w:after="80" w:line="283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本次推送保存的是可审读、可回滚、状态明确的创作工作树。它推进了修订与审读，但没有缩短 Canon 与作者验收之间的必要距离。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38" w:bottom="1080" w:left="12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Microsoft YaHei" w:hAnsi="Microsoft YaHei" w:eastAsia="Microsoft YaHei"/>
        <w:b w:val="0"/>
        <w:i w:val="0"/>
        <w:color w:val="6B7280"/>
        <w:sz w:val="17"/>
      </w:rPr>
      <w:t xml:space="preserve">DRAFT / FINAL_REVIEW_REQUIRED  ·  2026-08-10  ·  第 </w:t>
    </w:r>
    <w:r>
      <w:rPr>
        <w:rFonts w:ascii="Microsoft YaHei" w:hAnsi="Microsoft YaHei" w:eastAsia="Microsoft YaHei"/>
        <w:b w:val="0"/>
        <w:i w:val="0"/>
        <w:color w:val="6B7280"/>
        <w:sz w:val="17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 w:val="0"/>
        <w:i w:val="0"/>
        <w:color w:val="6B7280"/>
        <w:sz w:val="17"/>
      </w:rPr>
      <w:t>《钢铁共和国》  |  第一卷 P2修订交付说明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7" w:lineRule="auto"/>
      <w:jc w:val="both"/>
    </w:pPr>
    <w:rPr>
      <w:rFonts w:ascii="Microsoft YaHei" w:hAnsi="Microsoft YaHei" w:eastAsia="Microsoft YaHei"/>
      <w:color w:val="1F2937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/>
      <w:contextualSpacing/>
    </w:pPr>
    <w:rPr>
      <w:rFonts w:ascii="Microsoft YaHei" w:hAnsi="Microsoft YaHei" w:eastAsia="Microsoft YaHei"/>
      <w:color w:val="1F293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《钢铁共和国》第一卷 P2修订交付说明（第111至117章）</dc:title>
  <dc:subject>DRAFT revision delivery note</dc:subject>
  <dc:creator>Republic of Steel editorial workspace</dc:creator>
  <cp:keywords/>
  <dc:description>Generated for the current P2 draft delivery; not author-accepted.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