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73B" w:rsidRPr="00C33677" w:rsidRDefault="004D673B" w:rsidP="00C33677">
      <w:pPr>
        <w:pStyle w:val="style1"/>
        <w:shd w:val="clear" w:color="auto" w:fill="FFFFFF"/>
        <w:adjustRightInd w:val="0"/>
        <w:snapToGrid w:val="0"/>
        <w:spacing w:beforeLines="50" w:beforeAutospacing="0" w:afterLines="50" w:afterAutospacing="0" w:line="580" w:lineRule="exact"/>
        <w:jc w:val="center"/>
        <w:rPr>
          <w:rFonts w:ascii="方正小标宋简体" w:eastAsia="方正小标宋简体" w:hAnsi="黑体" w:cs="Times New Roman"/>
          <w:sz w:val="44"/>
          <w:szCs w:val="44"/>
        </w:rPr>
      </w:pPr>
      <w:r w:rsidRPr="0044589D">
        <w:rPr>
          <w:rFonts w:ascii="方正小标宋简体" w:eastAsia="方正小标宋简体" w:hAnsi="黑体" w:cs="方正小标宋简体" w:hint="eastAsia"/>
          <w:color w:val="333333"/>
          <w:sz w:val="44"/>
          <w:szCs w:val="44"/>
        </w:rPr>
        <w:t>外国语学院</w:t>
      </w:r>
      <w:r w:rsidRPr="0044589D">
        <w:rPr>
          <w:rFonts w:ascii="方正小标宋简体" w:eastAsia="方正小标宋简体" w:hAnsi="黑体" w:cs="方正小标宋简体"/>
          <w:sz w:val="44"/>
          <w:szCs w:val="44"/>
        </w:rPr>
        <w:t>2020</w:t>
      </w:r>
      <w:r w:rsidRPr="0044589D">
        <w:rPr>
          <w:rFonts w:ascii="方正小标宋简体" w:eastAsia="方正小标宋简体" w:hAnsi="黑体" w:cs="方正小标宋简体" w:hint="eastAsia"/>
          <w:sz w:val="44"/>
          <w:szCs w:val="44"/>
        </w:rPr>
        <w:t>年硕士研究生调剂实施细则</w:t>
      </w:r>
    </w:p>
    <w:p w:rsidR="004D673B" w:rsidRPr="0044589D" w:rsidRDefault="004D673B" w:rsidP="00C33677">
      <w:pPr>
        <w:widowControl/>
        <w:spacing w:before="100" w:beforeAutospacing="1" w:after="100" w:afterAutospacing="1" w:line="580" w:lineRule="exact"/>
        <w:ind w:leftChars="171" w:left="31680" w:firstLineChars="1245" w:firstLine="31680"/>
        <w:rPr>
          <w:rFonts w:ascii="仿宋_GB2312" w:eastAsia="仿宋_GB2312" w:cs="Times New Roman"/>
          <w:b/>
          <w:bCs/>
          <w:kern w:val="0"/>
          <w:sz w:val="32"/>
          <w:szCs w:val="32"/>
        </w:rPr>
      </w:pPr>
      <w:r w:rsidRPr="0044589D">
        <w:rPr>
          <w:rFonts w:ascii="仿宋_GB2312" w:eastAsia="仿宋_GB2312" w:hAnsi="宋体" w:cs="仿宋_GB2312" w:hint="eastAsia"/>
          <w:b/>
          <w:bCs/>
          <w:kern w:val="0"/>
          <w:sz w:val="32"/>
          <w:szCs w:val="32"/>
        </w:rPr>
        <w:t>总则</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kern w:val="0"/>
          <w:sz w:val="32"/>
          <w:szCs w:val="32"/>
        </w:rPr>
      </w:pPr>
      <w:r w:rsidRPr="0044589D">
        <w:rPr>
          <w:rFonts w:ascii="仿宋_GB2312" w:eastAsia="仿宋_GB2312" w:hAnsi="宋体" w:cs="仿宋_GB2312" w:hint="eastAsia"/>
          <w:b/>
          <w:bCs/>
          <w:kern w:val="0"/>
          <w:sz w:val="32"/>
          <w:szCs w:val="32"/>
        </w:rPr>
        <w:t>第一条</w:t>
      </w:r>
      <w:r w:rsidRPr="0044589D">
        <w:rPr>
          <w:rFonts w:ascii="仿宋_GB2312" w:eastAsia="仿宋_GB2312" w:cs="仿宋_GB2312"/>
          <w:kern w:val="0"/>
          <w:sz w:val="32"/>
          <w:szCs w:val="32"/>
        </w:rPr>
        <w:t xml:space="preserve"> </w:t>
      </w:r>
      <w:r w:rsidRPr="0044589D">
        <w:rPr>
          <w:rFonts w:ascii="仿宋_GB2312" w:eastAsia="仿宋_GB2312" w:hAnsi="宋体" w:cs="仿宋_GB2312" w:hint="eastAsia"/>
          <w:kern w:val="0"/>
          <w:sz w:val="32"/>
          <w:szCs w:val="32"/>
        </w:rPr>
        <w:t>调剂是研究生招生录取工作的重要组成部分，是保证生源质量和完成招生计划的重要环节。为规范学院硕士研究生调剂工作，</w:t>
      </w:r>
      <w:r w:rsidRPr="0044589D">
        <w:rPr>
          <w:rFonts w:ascii="仿宋_GB2312" w:eastAsia="仿宋_GB2312" w:cs="仿宋_GB2312" w:hint="eastAsia"/>
          <w:sz w:val="32"/>
          <w:szCs w:val="32"/>
        </w:rPr>
        <w:t>依据教育部、内蒙古招生考试中心和内蒙古工业大学</w:t>
      </w:r>
      <w:r w:rsidRPr="0044589D">
        <w:rPr>
          <w:rFonts w:ascii="仿宋_GB2312" w:eastAsia="仿宋_GB2312" w:hAnsi="Times New Roman" w:cs="仿宋_GB2312"/>
          <w:sz w:val="32"/>
          <w:szCs w:val="32"/>
        </w:rPr>
        <w:t>2020</w:t>
      </w:r>
      <w:r w:rsidRPr="0044589D">
        <w:rPr>
          <w:rFonts w:ascii="仿宋_GB2312" w:eastAsia="仿宋_GB2312" w:cs="仿宋_GB2312" w:hint="eastAsia"/>
          <w:sz w:val="32"/>
          <w:szCs w:val="32"/>
        </w:rPr>
        <w:t>年硕士研究生调剂办法等文件精神，制定本办法。</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kern w:val="0"/>
          <w:sz w:val="32"/>
          <w:szCs w:val="32"/>
        </w:rPr>
      </w:pPr>
      <w:r w:rsidRPr="0044589D">
        <w:rPr>
          <w:rFonts w:ascii="仿宋_GB2312" w:eastAsia="仿宋_GB2312" w:hAnsi="宋体" w:cs="仿宋_GB2312" w:hint="eastAsia"/>
          <w:b/>
          <w:bCs/>
          <w:kern w:val="0"/>
          <w:sz w:val="32"/>
          <w:szCs w:val="32"/>
        </w:rPr>
        <w:t>第二条</w:t>
      </w:r>
      <w:r w:rsidRPr="0044589D">
        <w:rPr>
          <w:rFonts w:ascii="仿宋_GB2312" w:eastAsia="仿宋_GB2312" w:hAnsi="宋体" w:cs="仿宋_GB2312"/>
          <w:kern w:val="0"/>
          <w:sz w:val="32"/>
          <w:szCs w:val="32"/>
        </w:rPr>
        <w:t xml:space="preserve"> </w:t>
      </w:r>
      <w:r w:rsidRPr="0044589D">
        <w:rPr>
          <w:rFonts w:ascii="仿宋_GB2312" w:eastAsia="仿宋_GB2312" w:hAnsi="宋体" w:cs="仿宋_GB2312" w:hint="eastAsia"/>
          <w:kern w:val="0"/>
          <w:sz w:val="32"/>
          <w:szCs w:val="32"/>
        </w:rPr>
        <w:t>调剂工作坚持公平公正、透明公开、择优选拔的原则，及时向社会公布有关调剂办法和调剂实施细则等信息。</w:t>
      </w:r>
    </w:p>
    <w:p w:rsidR="004D673B" w:rsidRPr="0044589D" w:rsidRDefault="004D673B" w:rsidP="00C33677">
      <w:pPr>
        <w:pStyle w:val="NormalWeb"/>
        <w:tabs>
          <w:tab w:val="left" w:pos="1080"/>
        </w:tabs>
        <w:spacing w:before="0" w:beforeAutospacing="0" w:after="0" w:afterAutospacing="0" w:line="580" w:lineRule="exact"/>
        <w:ind w:firstLineChars="196" w:firstLine="31680"/>
        <w:jc w:val="both"/>
        <w:rPr>
          <w:rFonts w:ascii="仿宋_GB2312" w:eastAsia="仿宋_GB2312" w:hAnsi="Times New Roman" w:cs="Times New Roman"/>
          <w:kern w:val="2"/>
          <w:sz w:val="32"/>
          <w:szCs w:val="32"/>
        </w:rPr>
      </w:pPr>
      <w:r w:rsidRPr="0044589D">
        <w:rPr>
          <w:rFonts w:ascii="仿宋_GB2312" w:eastAsia="仿宋_GB2312" w:cs="仿宋_GB2312" w:hint="eastAsia"/>
          <w:b/>
          <w:bCs/>
          <w:kern w:val="2"/>
          <w:sz w:val="32"/>
          <w:szCs w:val="32"/>
        </w:rPr>
        <w:t>第三条</w:t>
      </w:r>
      <w:r w:rsidRPr="0044589D">
        <w:rPr>
          <w:rFonts w:ascii="仿宋_GB2312" w:eastAsia="仿宋_GB2312" w:cs="仿宋_GB2312"/>
          <w:kern w:val="2"/>
          <w:sz w:val="32"/>
          <w:szCs w:val="32"/>
        </w:rPr>
        <w:t xml:space="preserve"> </w:t>
      </w:r>
      <w:r w:rsidRPr="0044589D">
        <w:rPr>
          <w:rFonts w:ascii="仿宋_GB2312" w:eastAsia="仿宋_GB2312" w:cs="仿宋_GB2312" w:hint="eastAsia"/>
          <w:kern w:val="2"/>
          <w:sz w:val="32"/>
          <w:szCs w:val="32"/>
        </w:rPr>
        <w:t>调剂范围是学院有可调剂名额的专业，名额已满的专业不接收调剂。各专业招生计划、第一志愿上线考生数等信息见学校研究生院发布的《</w:t>
      </w:r>
      <w:r w:rsidRPr="0044589D">
        <w:rPr>
          <w:rFonts w:ascii="仿宋_GB2312" w:eastAsia="仿宋_GB2312" w:hAnsi="Times New Roman" w:cs="仿宋_GB2312"/>
          <w:kern w:val="2"/>
          <w:sz w:val="32"/>
          <w:szCs w:val="32"/>
        </w:rPr>
        <w:t>2020</w:t>
      </w:r>
      <w:r w:rsidRPr="0044589D">
        <w:rPr>
          <w:rFonts w:ascii="仿宋_GB2312" w:eastAsia="仿宋_GB2312" w:cs="仿宋_GB2312" w:hint="eastAsia"/>
          <w:kern w:val="2"/>
          <w:sz w:val="32"/>
          <w:szCs w:val="32"/>
        </w:rPr>
        <w:t>年硕士研究生招生接收调剂考生统计表》。</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kern w:val="0"/>
          <w:sz w:val="32"/>
          <w:szCs w:val="32"/>
        </w:rPr>
      </w:pPr>
      <w:r w:rsidRPr="0044589D">
        <w:rPr>
          <w:rFonts w:ascii="仿宋_GB2312" w:eastAsia="仿宋_GB2312" w:cs="仿宋_GB2312" w:hint="eastAsia"/>
          <w:b/>
          <w:bCs/>
          <w:kern w:val="0"/>
          <w:sz w:val="32"/>
          <w:szCs w:val="32"/>
        </w:rPr>
        <w:t>第四条</w:t>
      </w:r>
      <w:r w:rsidRPr="0044589D">
        <w:rPr>
          <w:rFonts w:ascii="仿宋_GB2312" w:eastAsia="仿宋_GB2312" w:cs="仿宋_GB2312"/>
          <w:b/>
          <w:bCs/>
          <w:kern w:val="0"/>
          <w:sz w:val="32"/>
          <w:szCs w:val="32"/>
        </w:rPr>
        <w:t xml:space="preserve"> </w:t>
      </w:r>
      <w:r w:rsidRPr="0044589D">
        <w:rPr>
          <w:rFonts w:ascii="仿宋_GB2312" w:eastAsia="仿宋_GB2312" w:cs="仿宋_GB2312" w:hint="eastAsia"/>
          <w:kern w:val="0"/>
          <w:sz w:val="32"/>
          <w:szCs w:val="32"/>
        </w:rPr>
        <w:t>学院各专业调剂比例一般不低于</w:t>
      </w:r>
      <w:r w:rsidRPr="0044589D">
        <w:rPr>
          <w:rFonts w:ascii="仿宋_GB2312" w:eastAsia="仿宋_GB2312" w:cs="仿宋_GB2312"/>
          <w:kern w:val="0"/>
          <w:sz w:val="32"/>
          <w:szCs w:val="32"/>
        </w:rPr>
        <w:t>1:1.2</w:t>
      </w:r>
      <w:r w:rsidRPr="0044589D">
        <w:rPr>
          <w:rFonts w:ascii="仿宋_GB2312" w:eastAsia="仿宋_GB2312" w:cs="仿宋_GB2312" w:hint="eastAsia"/>
          <w:kern w:val="0"/>
          <w:sz w:val="32"/>
          <w:szCs w:val="32"/>
        </w:rPr>
        <w:t>。</w:t>
      </w:r>
    </w:p>
    <w:p w:rsidR="004D673B" w:rsidRPr="0044589D" w:rsidRDefault="004D673B" w:rsidP="0044589D">
      <w:pPr>
        <w:widowControl/>
        <w:spacing w:before="100" w:beforeAutospacing="1" w:after="100" w:afterAutospacing="1" w:line="580" w:lineRule="exact"/>
        <w:jc w:val="center"/>
        <w:rPr>
          <w:rFonts w:ascii="仿宋_GB2312" w:eastAsia="仿宋_GB2312" w:cs="Times New Roman"/>
          <w:b/>
          <w:bCs/>
          <w:kern w:val="0"/>
          <w:sz w:val="32"/>
          <w:szCs w:val="32"/>
        </w:rPr>
      </w:pPr>
      <w:r w:rsidRPr="0044589D">
        <w:rPr>
          <w:rFonts w:ascii="仿宋_GB2312" w:eastAsia="仿宋_GB2312" w:hAnsi="宋体" w:cs="仿宋_GB2312" w:hint="eastAsia"/>
          <w:b/>
          <w:bCs/>
          <w:kern w:val="0"/>
          <w:sz w:val="32"/>
          <w:szCs w:val="32"/>
        </w:rPr>
        <w:t>调剂工作的组织与管理</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44589D">
        <w:rPr>
          <w:rFonts w:ascii="仿宋_GB2312" w:eastAsia="仿宋_GB2312" w:cs="仿宋_GB2312" w:hint="eastAsia"/>
          <w:b/>
          <w:bCs/>
          <w:kern w:val="2"/>
          <w:sz w:val="32"/>
          <w:szCs w:val="32"/>
        </w:rPr>
        <w:t>第五条</w:t>
      </w:r>
      <w:r w:rsidRPr="0044589D">
        <w:rPr>
          <w:rFonts w:ascii="仿宋_GB2312" w:eastAsia="仿宋_GB2312" w:cs="仿宋_GB2312"/>
          <w:kern w:val="2"/>
          <w:sz w:val="32"/>
          <w:szCs w:val="32"/>
        </w:rPr>
        <w:t xml:space="preserve"> </w:t>
      </w:r>
      <w:r w:rsidRPr="0044589D">
        <w:rPr>
          <w:rFonts w:ascii="仿宋_GB2312" w:eastAsia="仿宋_GB2312" w:cs="仿宋_GB2312" w:hint="eastAsia"/>
          <w:kern w:val="2"/>
          <w:sz w:val="32"/>
          <w:szCs w:val="32"/>
        </w:rPr>
        <w:t>调剂工作在学院研究生招生工作小组领导下进行。学院研究生招生工作小组负责依据《</w:t>
      </w:r>
      <w:r w:rsidRPr="0044589D">
        <w:rPr>
          <w:rFonts w:ascii="仿宋_GB2312" w:eastAsia="仿宋_GB2312" w:cs="仿宋_GB2312"/>
          <w:kern w:val="2"/>
          <w:sz w:val="32"/>
          <w:szCs w:val="32"/>
        </w:rPr>
        <w:t>2020</w:t>
      </w:r>
      <w:r w:rsidRPr="0044589D">
        <w:rPr>
          <w:rFonts w:ascii="仿宋_GB2312" w:eastAsia="仿宋_GB2312" w:cs="仿宋_GB2312" w:hint="eastAsia"/>
          <w:kern w:val="2"/>
          <w:sz w:val="32"/>
          <w:szCs w:val="32"/>
        </w:rPr>
        <w:t>年内蒙古工业大学硕士研究生调剂工作办法》制定本学院调剂工作的实施细则，指导学院严格按照调剂工作实施细则进行调剂工作，审批上报的推荐调剂名单。学院研究生招生工作小组负责调剂具体工作。学院研究生招生工作小组办公室设在外国语学院教学科研服务中心办公室。</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hAnsi="Times New Roman" w:cs="Times New Roman"/>
          <w:kern w:val="2"/>
          <w:sz w:val="32"/>
          <w:szCs w:val="32"/>
        </w:rPr>
      </w:pPr>
      <w:r w:rsidRPr="0044589D">
        <w:rPr>
          <w:rFonts w:ascii="仿宋_GB2312" w:eastAsia="仿宋_GB2312" w:cs="仿宋_GB2312" w:hint="eastAsia"/>
          <w:b/>
          <w:bCs/>
          <w:kern w:val="2"/>
          <w:sz w:val="32"/>
          <w:szCs w:val="32"/>
        </w:rPr>
        <w:t>第六条</w:t>
      </w:r>
      <w:r w:rsidRPr="0044589D">
        <w:rPr>
          <w:rFonts w:ascii="仿宋_GB2312" w:eastAsia="仿宋_GB2312" w:cs="仿宋_GB2312"/>
          <w:b/>
          <w:bCs/>
          <w:kern w:val="2"/>
          <w:sz w:val="32"/>
          <w:szCs w:val="32"/>
        </w:rPr>
        <w:t xml:space="preserve"> </w:t>
      </w:r>
      <w:r w:rsidRPr="0044589D">
        <w:rPr>
          <w:rFonts w:ascii="仿宋_GB2312" w:eastAsia="仿宋_GB2312" w:cs="仿宋_GB2312" w:hint="eastAsia"/>
          <w:kern w:val="2"/>
          <w:sz w:val="32"/>
          <w:szCs w:val="32"/>
        </w:rPr>
        <w:t>调剂名单由学院研究生招生工作小组集体研究确定。</w:t>
      </w:r>
    </w:p>
    <w:p w:rsidR="004D673B" w:rsidRPr="0044589D" w:rsidRDefault="004D673B" w:rsidP="007E1F4B">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sz w:val="32"/>
          <w:szCs w:val="32"/>
        </w:rPr>
      </w:pPr>
      <w:r w:rsidRPr="0044589D">
        <w:rPr>
          <w:rFonts w:ascii="仿宋_GB2312" w:eastAsia="仿宋_GB2312" w:cs="仿宋_GB2312" w:hint="eastAsia"/>
          <w:b/>
          <w:bCs/>
          <w:sz w:val="32"/>
          <w:szCs w:val="32"/>
        </w:rPr>
        <w:t>调剂政策规定</w:t>
      </w:r>
    </w:p>
    <w:p w:rsidR="004D673B" w:rsidRPr="0044589D" w:rsidRDefault="004D673B" w:rsidP="00C33677">
      <w:pPr>
        <w:pStyle w:val="style1"/>
        <w:shd w:val="clear" w:color="auto" w:fill="FFFFFF"/>
        <w:adjustRightInd w:val="0"/>
        <w:snapToGrid w:val="0"/>
        <w:spacing w:beforeLines="50" w:beforeAutospacing="0" w:after="0" w:afterAutospacing="0" w:line="580" w:lineRule="exact"/>
        <w:ind w:firstLineChars="49" w:firstLine="31680"/>
        <w:outlineLvl w:val="0"/>
        <w:rPr>
          <w:rFonts w:ascii="仿宋_GB2312" w:eastAsia="仿宋_GB2312" w:cs="Times New Roman"/>
          <w:kern w:val="2"/>
          <w:sz w:val="32"/>
          <w:szCs w:val="32"/>
        </w:rPr>
      </w:pPr>
      <w:r w:rsidRPr="0044589D">
        <w:rPr>
          <w:rFonts w:ascii="仿宋_GB2312" w:eastAsia="仿宋_GB2312" w:cs="仿宋_GB2312"/>
          <w:b/>
          <w:bCs/>
          <w:sz w:val="32"/>
          <w:szCs w:val="32"/>
        </w:rPr>
        <w:t xml:space="preserve">   </w:t>
      </w:r>
      <w:r w:rsidRPr="0044589D">
        <w:rPr>
          <w:rFonts w:ascii="仿宋_GB2312" w:eastAsia="仿宋_GB2312" w:cs="仿宋_GB2312" w:hint="eastAsia"/>
          <w:b/>
          <w:bCs/>
          <w:kern w:val="2"/>
          <w:sz w:val="32"/>
          <w:szCs w:val="32"/>
        </w:rPr>
        <w:t>第七条</w:t>
      </w:r>
      <w:r w:rsidRPr="0044589D">
        <w:rPr>
          <w:rFonts w:ascii="仿宋_GB2312" w:eastAsia="仿宋_GB2312" w:cs="仿宋_GB2312"/>
          <w:b/>
          <w:bCs/>
          <w:kern w:val="2"/>
          <w:sz w:val="32"/>
          <w:szCs w:val="32"/>
        </w:rPr>
        <w:t xml:space="preserve"> </w:t>
      </w:r>
      <w:r w:rsidRPr="0044589D">
        <w:rPr>
          <w:rFonts w:ascii="仿宋_GB2312" w:eastAsia="仿宋_GB2312" w:cs="仿宋_GB2312" w:hint="eastAsia"/>
          <w:b/>
          <w:bCs/>
          <w:kern w:val="2"/>
          <w:sz w:val="32"/>
          <w:szCs w:val="32"/>
        </w:rPr>
        <w:t>考生调剂基本要求</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（一）调剂考生必须符合学院相关专业的报考条件，报考条件详见《内蒙古工业大学</w:t>
      </w:r>
      <w:r w:rsidRPr="0044589D">
        <w:rPr>
          <w:rFonts w:ascii="仿宋_GB2312" w:eastAsia="仿宋_GB2312" w:hAnsi="宋体" w:cs="仿宋_GB2312"/>
          <w:color w:val="000000"/>
          <w:kern w:val="0"/>
          <w:sz w:val="32"/>
          <w:szCs w:val="32"/>
        </w:rPr>
        <w:t>2020</w:t>
      </w:r>
      <w:r w:rsidRPr="0044589D">
        <w:rPr>
          <w:rFonts w:ascii="仿宋_GB2312" w:eastAsia="仿宋_GB2312" w:hAnsi="宋体" w:cs="仿宋_GB2312" w:hint="eastAsia"/>
          <w:color w:val="000000"/>
          <w:kern w:val="0"/>
          <w:sz w:val="32"/>
          <w:szCs w:val="32"/>
        </w:rPr>
        <w:t>年硕士研究生招生章程》。</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（二）初试成绩符合第一志愿报考专业在</w:t>
      </w:r>
      <w:r w:rsidRPr="0044589D">
        <w:rPr>
          <w:rFonts w:ascii="仿宋_GB2312" w:eastAsia="仿宋_GB2312" w:hAnsi="宋体" w:cs="仿宋_GB2312"/>
          <w:color w:val="000000"/>
          <w:kern w:val="0"/>
          <w:sz w:val="32"/>
          <w:szCs w:val="32"/>
        </w:rPr>
        <w:t>2020</w:t>
      </w:r>
      <w:r w:rsidRPr="0044589D">
        <w:rPr>
          <w:rFonts w:ascii="仿宋_GB2312" w:eastAsia="仿宋_GB2312" w:hAnsi="宋体" w:cs="仿宋_GB2312" w:hint="eastAsia"/>
          <w:color w:val="000000"/>
          <w:kern w:val="0"/>
          <w:sz w:val="32"/>
          <w:szCs w:val="32"/>
        </w:rPr>
        <w:t>年二区的《</w:t>
      </w:r>
      <w:r w:rsidRPr="0044589D">
        <w:rPr>
          <w:rFonts w:ascii="仿宋_GB2312" w:eastAsia="仿宋_GB2312" w:hAnsi="宋体" w:cs="仿宋_GB2312"/>
          <w:color w:val="000000"/>
          <w:kern w:val="0"/>
          <w:sz w:val="32"/>
          <w:szCs w:val="32"/>
        </w:rPr>
        <w:t>2020</w:t>
      </w:r>
      <w:r w:rsidRPr="0044589D">
        <w:rPr>
          <w:rFonts w:ascii="仿宋_GB2312" w:eastAsia="仿宋_GB2312" w:hAnsi="宋体" w:cs="仿宋_GB2312" w:hint="eastAsia"/>
          <w:color w:val="000000"/>
          <w:kern w:val="0"/>
          <w:sz w:val="32"/>
          <w:szCs w:val="32"/>
        </w:rPr>
        <w:t>年全国硕士研究生招生考试考生进入复试的初试成绩基本要求》。</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（三）调入专业与第一志愿报考专业相同或相近。原则上不跨学科门类调剂。</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（四）初试科目与调入专业初试科目相同或相近，其中统考科目原则上应当相同或高一个级别。</w:t>
      </w:r>
    </w:p>
    <w:p w:rsidR="004D673B" w:rsidRPr="0044589D" w:rsidRDefault="004D673B" w:rsidP="00C33677">
      <w:pPr>
        <w:widowControl/>
        <w:spacing w:before="100" w:beforeAutospacing="1" w:after="100" w:afterAutospacing="1" w:line="580" w:lineRule="exact"/>
        <w:ind w:firstLineChars="200" w:firstLine="31680"/>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（五）报考外国语言文学专业的考生初试第二外国语科目仅限日语、德语和俄语。</w:t>
      </w:r>
    </w:p>
    <w:p w:rsidR="004D673B" w:rsidRPr="0044589D" w:rsidRDefault="004D673B" w:rsidP="0044589D">
      <w:pPr>
        <w:widowControl/>
        <w:spacing w:before="100" w:beforeAutospacing="1" w:after="100" w:afterAutospacing="1" w:line="580" w:lineRule="exact"/>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 xml:space="preserve">　　（六）同一专业的全日制和非全日制两种学习方式之间可以互调，非全日制考生须满足在职定向。</w:t>
      </w:r>
    </w:p>
    <w:p w:rsidR="004D673B" w:rsidRPr="0044589D" w:rsidRDefault="004D673B" w:rsidP="0044589D">
      <w:pPr>
        <w:widowControl/>
        <w:spacing w:before="100" w:beforeAutospacing="1" w:after="100" w:afterAutospacing="1" w:line="580" w:lineRule="exact"/>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 xml:space="preserve">　　（七）少数民族考生调剂须符合国家的调剂政策，照顾政策执行国家的相关规定；参加“大学生志愿服务西部计划”、“三支一扶计划”、“赴外汉语教师志愿者”、“选聘高校毕业生到村任职”等项目服务的考生，以及高校学生应征入伍服义务兵役退役，达到报考条件后，</w:t>
      </w:r>
      <w:r w:rsidRPr="0044589D">
        <w:rPr>
          <w:rFonts w:ascii="仿宋_GB2312" w:eastAsia="仿宋_GB2312" w:hAnsi="宋体" w:cs="仿宋_GB2312"/>
          <w:color w:val="000000"/>
          <w:kern w:val="0"/>
          <w:sz w:val="32"/>
          <w:szCs w:val="32"/>
        </w:rPr>
        <w:t>3</w:t>
      </w:r>
      <w:r w:rsidRPr="0044589D">
        <w:rPr>
          <w:rFonts w:ascii="仿宋_GB2312" w:eastAsia="仿宋_GB2312" w:hAnsi="宋体" w:cs="仿宋_GB2312" w:hint="eastAsia"/>
          <w:color w:val="000000"/>
          <w:kern w:val="0"/>
          <w:sz w:val="32"/>
          <w:szCs w:val="32"/>
        </w:rPr>
        <w:t>年内参加全国硕士研究生招生考试的考生，执行国家当年的加分政策，同等条件下优先调剂。</w:t>
      </w:r>
    </w:p>
    <w:p w:rsidR="004D673B" w:rsidRPr="0012300F" w:rsidRDefault="004D673B" w:rsidP="00C33677">
      <w:pPr>
        <w:widowControl/>
        <w:spacing w:before="100" w:beforeAutospacing="1" w:after="100" w:afterAutospacing="1" w:line="580" w:lineRule="exact"/>
        <w:ind w:firstLineChars="200" w:firstLine="31680"/>
        <w:jc w:val="left"/>
        <w:rPr>
          <w:rFonts w:ascii="仿宋_GB2312" w:eastAsia="仿宋_GB2312" w:cs="Times New Roman"/>
          <w:color w:val="000000"/>
          <w:kern w:val="0"/>
          <w:sz w:val="32"/>
          <w:szCs w:val="32"/>
        </w:rPr>
      </w:pPr>
      <w:r w:rsidRPr="0044589D">
        <w:rPr>
          <w:rFonts w:ascii="仿宋_GB2312" w:eastAsia="仿宋_GB2312" w:hAnsi="宋体" w:cs="仿宋_GB2312" w:hint="eastAsia"/>
          <w:color w:val="000000"/>
          <w:kern w:val="0"/>
          <w:sz w:val="32"/>
          <w:szCs w:val="32"/>
        </w:rPr>
        <w:t>（八）调剂工作坚持择优选拔的原则：</w:t>
      </w:r>
      <w:r w:rsidRPr="0044589D">
        <w:rPr>
          <w:rFonts w:ascii="仿宋_GB2312" w:eastAsia="仿宋_GB2312" w:cs="仿宋_GB2312" w:hint="eastAsia"/>
          <w:sz w:val="32"/>
          <w:szCs w:val="32"/>
        </w:rPr>
        <w:t>在名额范围内同等条件下，按调剂考生</w:t>
      </w:r>
      <w:bookmarkStart w:id="0" w:name="_GoBack"/>
      <w:bookmarkEnd w:id="0"/>
      <w:r w:rsidRPr="0044589D">
        <w:rPr>
          <w:rFonts w:ascii="仿宋_GB2312" w:eastAsia="仿宋_GB2312" w:cs="仿宋_GB2312" w:hint="eastAsia"/>
          <w:sz w:val="32"/>
          <w:szCs w:val="32"/>
        </w:rPr>
        <w:t>初试成绩排序。</w:t>
      </w:r>
    </w:p>
    <w:p w:rsidR="004D673B" w:rsidRPr="0012300F" w:rsidRDefault="004D673B" w:rsidP="007E1F4B">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sz w:val="32"/>
          <w:szCs w:val="32"/>
        </w:rPr>
      </w:pPr>
      <w:r w:rsidRPr="0044589D">
        <w:rPr>
          <w:rFonts w:ascii="仿宋_GB2312" w:eastAsia="仿宋_GB2312" w:cs="仿宋_GB2312" w:hint="eastAsia"/>
          <w:b/>
          <w:bCs/>
          <w:sz w:val="32"/>
          <w:szCs w:val="32"/>
        </w:rPr>
        <w:t>调剂时间安排与程序</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hAnsi="Times New Roman" w:cs="Times New Roman"/>
          <w:kern w:val="2"/>
          <w:sz w:val="32"/>
          <w:szCs w:val="32"/>
        </w:rPr>
      </w:pPr>
      <w:r w:rsidRPr="0044589D">
        <w:rPr>
          <w:rFonts w:ascii="仿宋_GB2312" w:eastAsia="仿宋_GB2312" w:cs="仿宋_GB2312" w:hint="eastAsia"/>
          <w:b/>
          <w:bCs/>
          <w:kern w:val="2"/>
          <w:sz w:val="32"/>
          <w:szCs w:val="32"/>
        </w:rPr>
        <w:t>第八条</w:t>
      </w:r>
      <w:r w:rsidRPr="0044589D">
        <w:rPr>
          <w:rFonts w:ascii="仿宋_GB2312" w:eastAsia="仿宋_GB2312" w:cs="仿宋_GB2312"/>
          <w:b/>
          <w:bCs/>
          <w:kern w:val="2"/>
          <w:sz w:val="32"/>
          <w:szCs w:val="32"/>
        </w:rPr>
        <w:t xml:space="preserve"> </w:t>
      </w:r>
      <w:r w:rsidRPr="0044589D">
        <w:rPr>
          <w:rFonts w:ascii="仿宋_GB2312" w:eastAsia="仿宋_GB2312" w:cs="仿宋_GB2312" w:hint="eastAsia"/>
          <w:kern w:val="2"/>
          <w:sz w:val="32"/>
          <w:szCs w:val="32"/>
        </w:rPr>
        <w:t>中国研究生招生信息网开通当日开始调剂工作，学院各专业调剂截止时间以及是否多批次调剂视学校调剂进度确定，达到专业调剂额度后关网。</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sz w:val="32"/>
          <w:szCs w:val="32"/>
        </w:rPr>
      </w:pPr>
      <w:r w:rsidRPr="0044589D">
        <w:rPr>
          <w:rFonts w:ascii="仿宋_GB2312" w:eastAsia="仿宋_GB2312" w:cs="仿宋_GB2312" w:hint="eastAsia"/>
          <w:b/>
          <w:bCs/>
          <w:kern w:val="2"/>
          <w:sz w:val="32"/>
          <w:szCs w:val="32"/>
        </w:rPr>
        <w:t>第九条</w:t>
      </w:r>
      <w:r w:rsidRPr="0044589D">
        <w:rPr>
          <w:rFonts w:ascii="仿宋_GB2312" w:eastAsia="仿宋_GB2312" w:cs="仿宋_GB2312"/>
          <w:b/>
          <w:bCs/>
          <w:kern w:val="2"/>
          <w:sz w:val="32"/>
          <w:szCs w:val="32"/>
        </w:rPr>
        <w:t xml:space="preserve"> </w:t>
      </w:r>
      <w:r w:rsidRPr="0044589D">
        <w:rPr>
          <w:rFonts w:ascii="仿宋_GB2312" w:eastAsia="仿宋_GB2312" w:cs="仿宋_GB2312" w:hint="eastAsia"/>
          <w:kern w:val="2"/>
          <w:sz w:val="32"/>
          <w:szCs w:val="32"/>
        </w:rPr>
        <w:t>中国研究生全国硕士生招生调剂服务系统开通后开始正式调剂，以学校研究生学院网站发布通知为准。</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hAnsi="Times New Roman" w:cs="Times New Roman"/>
          <w:kern w:val="2"/>
          <w:sz w:val="32"/>
          <w:szCs w:val="32"/>
        </w:rPr>
      </w:pPr>
      <w:r w:rsidRPr="0044589D">
        <w:rPr>
          <w:rFonts w:ascii="仿宋_GB2312" w:eastAsia="仿宋_GB2312" w:cs="仿宋_GB2312" w:hint="eastAsia"/>
          <w:b/>
          <w:bCs/>
          <w:kern w:val="2"/>
          <w:sz w:val="32"/>
          <w:szCs w:val="32"/>
        </w:rPr>
        <w:t>第十条</w:t>
      </w:r>
      <w:r w:rsidRPr="0044589D">
        <w:rPr>
          <w:rFonts w:ascii="仿宋_GB2312" w:eastAsia="仿宋_GB2312" w:cs="仿宋_GB2312"/>
          <w:b/>
          <w:bCs/>
          <w:kern w:val="2"/>
          <w:sz w:val="32"/>
          <w:szCs w:val="32"/>
        </w:rPr>
        <w:t xml:space="preserve"> </w:t>
      </w:r>
      <w:r w:rsidRPr="0044589D">
        <w:rPr>
          <w:rFonts w:ascii="仿宋_GB2312" w:eastAsia="仿宋_GB2312" w:cs="仿宋_GB2312" w:hint="eastAsia"/>
          <w:color w:val="000000"/>
          <w:sz w:val="32"/>
          <w:szCs w:val="32"/>
        </w:rPr>
        <w:t>学院推荐的调剂名单须加盖学院公章后报研究生招生办公室（同时上报电子版），研究生招生办公室对调剂考生进行“考生调剂基本要求”审核后报学校招生委员会研究生招生工作组审核。</w:t>
      </w:r>
    </w:p>
    <w:p w:rsidR="004D673B" w:rsidRPr="00017D35" w:rsidRDefault="004D673B" w:rsidP="00C33677">
      <w:pPr>
        <w:pStyle w:val="NormalWeb"/>
        <w:tabs>
          <w:tab w:val="left" w:pos="1080"/>
          <w:tab w:val="left" w:pos="1985"/>
        </w:tabs>
        <w:spacing w:before="0" w:beforeAutospacing="0" w:after="0" w:afterAutospacing="0" w:line="580" w:lineRule="exact"/>
        <w:ind w:firstLineChars="200" w:firstLine="31680"/>
        <w:jc w:val="both"/>
        <w:rPr>
          <w:rFonts w:ascii="仿宋_GB2312" w:eastAsia="仿宋_GB2312" w:hAnsi="Times New Roman" w:cs="Times New Roman"/>
          <w:kern w:val="2"/>
          <w:sz w:val="32"/>
          <w:szCs w:val="32"/>
        </w:rPr>
      </w:pPr>
      <w:r w:rsidRPr="0044589D">
        <w:rPr>
          <w:rFonts w:ascii="仿宋_GB2312" w:eastAsia="仿宋_GB2312" w:cs="仿宋_GB2312" w:hint="eastAsia"/>
          <w:b/>
          <w:bCs/>
          <w:kern w:val="2"/>
          <w:sz w:val="32"/>
          <w:szCs w:val="32"/>
        </w:rPr>
        <w:t>第十一条</w:t>
      </w:r>
      <w:r w:rsidRPr="0044589D">
        <w:rPr>
          <w:rFonts w:ascii="仿宋_GB2312" w:eastAsia="仿宋_GB2312" w:cs="仿宋_GB2312"/>
          <w:kern w:val="2"/>
          <w:sz w:val="32"/>
          <w:szCs w:val="32"/>
        </w:rPr>
        <w:t xml:space="preserve"> </w:t>
      </w:r>
      <w:r w:rsidRPr="0044589D">
        <w:rPr>
          <w:rFonts w:ascii="仿宋_GB2312" w:eastAsia="仿宋_GB2312" w:cs="仿宋_GB2312" w:hint="eastAsia"/>
          <w:kern w:val="2"/>
          <w:sz w:val="32"/>
          <w:szCs w:val="32"/>
        </w:rPr>
        <w:t>审核通过的调剂考生由研究生招生办公室通过研究生招生信息网发出复试通知，考生须在规定时间内回复。</w:t>
      </w:r>
    </w:p>
    <w:p w:rsidR="004D673B" w:rsidRPr="0044589D" w:rsidRDefault="004D673B" w:rsidP="007E1F4B">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sz w:val="32"/>
          <w:szCs w:val="32"/>
        </w:rPr>
      </w:pPr>
      <w:r w:rsidRPr="0044589D">
        <w:rPr>
          <w:rFonts w:ascii="仿宋_GB2312" w:eastAsia="仿宋_GB2312" w:cs="仿宋_GB2312" w:hint="eastAsia"/>
          <w:b/>
          <w:bCs/>
          <w:sz w:val="32"/>
          <w:szCs w:val="32"/>
        </w:rPr>
        <w:t>其他</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hAnsi="Times New Roman" w:cs="Times New Roman"/>
          <w:kern w:val="2"/>
          <w:sz w:val="32"/>
          <w:szCs w:val="32"/>
        </w:rPr>
      </w:pPr>
      <w:r w:rsidRPr="0044589D">
        <w:rPr>
          <w:rFonts w:ascii="仿宋_GB2312" w:eastAsia="仿宋_GB2312" w:cs="仿宋_GB2312" w:hint="eastAsia"/>
          <w:b/>
          <w:bCs/>
          <w:kern w:val="2"/>
          <w:sz w:val="32"/>
          <w:szCs w:val="32"/>
        </w:rPr>
        <w:t>第十二条</w:t>
      </w:r>
      <w:r w:rsidRPr="0044589D">
        <w:rPr>
          <w:rFonts w:ascii="仿宋_GB2312" w:eastAsia="仿宋_GB2312" w:cs="仿宋_GB2312"/>
          <w:kern w:val="2"/>
          <w:sz w:val="32"/>
          <w:szCs w:val="32"/>
        </w:rPr>
        <w:t xml:space="preserve"> </w:t>
      </w:r>
      <w:r w:rsidRPr="0044589D">
        <w:rPr>
          <w:rFonts w:ascii="仿宋_GB2312" w:eastAsia="仿宋_GB2312" w:cs="仿宋_GB2312" w:hint="eastAsia"/>
          <w:kern w:val="2"/>
          <w:sz w:val="32"/>
          <w:szCs w:val="32"/>
        </w:rPr>
        <w:t>本细则由内蒙古工业大学外国语学院研究生招生工作小组负责解释。</w:t>
      </w:r>
    </w:p>
    <w:p w:rsidR="004D673B" w:rsidRPr="0044589D" w:rsidRDefault="004D673B" w:rsidP="00C33677">
      <w:pPr>
        <w:pStyle w:val="NormalWeb"/>
        <w:tabs>
          <w:tab w:val="left" w:pos="1080"/>
        </w:tabs>
        <w:spacing w:before="0" w:beforeAutospacing="0" w:after="0" w:afterAutospacing="0" w:line="580" w:lineRule="exact"/>
        <w:ind w:firstLineChars="200" w:firstLine="31680"/>
        <w:jc w:val="both"/>
        <w:rPr>
          <w:rFonts w:ascii="仿宋_GB2312" w:eastAsia="仿宋_GB2312" w:hAnsi="Times New Roman" w:cs="Times New Roman"/>
          <w:kern w:val="2"/>
          <w:sz w:val="32"/>
          <w:szCs w:val="32"/>
        </w:rPr>
      </w:pPr>
      <w:r w:rsidRPr="0044589D">
        <w:rPr>
          <w:rFonts w:ascii="仿宋_GB2312" w:eastAsia="仿宋_GB2312" w:hAnsi="Times New Roman" w:cs="仿宋_GB2312" w:hint="eastAsia"/>
          <w:b/>
          <w:bCs/>
          <w:kern w:val="2"/>
          <w:sz w:val="32"/>
          <w:szCs w:val="32"/>
        </w:rPr>
        <w:t>第十三条</w:t>
      </w:r>
      <w:r w:rsidRPr="0044589D">
        <w:rPr>
          <w:rFonts w:ascii="仿宋_GB2312" w:eastAsia="仿宋_GB2312" w:hAnsi="Times New Roman" w:cs="仿宋_GB2312"/>
          <w:kern w:val="2"/>
          <w:sz w:val="32"/>
          <w:szCs w:val="32"/>
        </w:rPr>
        <w:t xml:space="preserve"> </w:t>
      </w:r>
      <w:r w:rsidRPr="0044589D">
        <w:rPr>
          <w:rFonts w:ascii="仿宋_GB2312" w:eastAsia="仿宋_GB2312" w:hAnsi="Times New Roman" w:cs="仿宋_GB2312" w:hint="eastAsia"/>
          <w:kern w:val="2"/>
          <w:sz w:val="32"/>
          <w:szCs w:val="32"/>
        </w:rPr>
        <w:t>外国语学院研究生招生工作小组办公室联系方式：</w:t>
      </w:r>
    </w:p>
    <w:p w:rsidR="004D673B" w:rsidRPr="0044589D" w:rsidRDefault="004D673B" w:rsidP="00C33677">
      <w:pPr>
        <w:widowControl/>
        <w:spacing w:line="580" w:lineRule="exact"/>
        <w:ind w:firstLineChars="200" w:firstLine="31680"/>
        <w:jc w:val="left"/>
        <w:rPr>
          <w:rFonts w:ascii="仿宋_GB2312" w:eastAsia="仿宋_GB2312" w:hAnsi="Times New Roman" w:cs="Times New Roman"/>
          <w:sz w:val="32"/>
          <w:szCs w:val="32"/>
        </w:rPr>
      </w:pPr>
      <w:r w:rsidRPr="0044589D">
        <w:rPr>
          <w:rFonts w:ascii="仿宋_GB2312" w:eastAsia="仿宋_GB2312" w:cs="仿宋_GB2312" w:hint="eastAsia"/>
          <w:sz w:val="32"/>
          <w:szCs w:val="32"/>
        </w:rPr>
        <w:t>地点：内蒙古工业大学金川校区电力大楼</w:t>
      </w:r>
      <w:r w:rsidRPr="0044589D">
        <w:rPr>
          <w:rFonts w:ascii="仿宋_GB2312" w:eastAsia="仿宋_GB2312" w:cs="仿宋_GB2312"/>
          <w:sz w:val="32"/>
          <w:szCs w:val="32"/>
        </w:rPr>
        <w:t>411</w:t>
      </w:r>
      <w:r w:rsidRPr="0044589D">
        <w:rPr>
          <w:rFonts w:ascii="仿宋_GB2312" w:eastAsia="仿宋_GB2312" w:cs="仿宋_GB2312" w:hint="eastAsia"/>
          <w:sz w:val="32"/>
          <w:szCs w:val="32"/>
        </w:rPr>
        <w:t>室</w:t>
      </w:r>
    </w:p>
    <w:p w:rsidR="004D673B" w:rsidRPr="0044589D" w:rsidRDefault="004D673B" w:rsidP="0044589D">
      <w:pPr>
        <w:pStyle w:val="NormalWeb"/>
        <w:tabs>
          <w:tab w:val="left" w:pos="1080"/>
        </w:tabs>
        <w:spacing w:before="0" w:beforeAutospacing="0" w:after="0" w:afterAutospacing="0" w:line="580" w:lineRule="exact"/>
        <w:ind w:left="567"/>
        <w:jc w:val="both"/>
        <w:rPr>
          <w:rFonts w:ascii="仿宋_GB2312" w:eastAsia="仿宋_GB2312" w:hAnsi="Times New Roman" w:cs="Times New Roman"/>
          <w:kern w:val="2"/>
          <w:sz w:val="32"/>
          <w:szCs w:val="32"/>
        </w:rPr>
      </w:pPr>
      <w:r w:rsidRPr="0044589D">
        <w:rPr>
          <w:rFonts w:ascii="仿宋_GB2312" w:eastAsia="仿宋_GB2312" w:cs="仿宋_GB2312" w:hint="eastAsia"/>
          <w:sz w:val="32"/>
          <w:szCs w:val="32"/>
        </w:rPr>
        <w:t>电话：</w:t>
      </w:r>
      <w:r w:rsidRPr="0044589D">
        <w:rPr>
          <w:rFonts w:ascii="仿宋_GB2312" w:eastAsia="仿宋_GB2312" w:hAnsi="Times New Roman" w:cs="仿宋_GB2312"/>
          <w:sz w:val="32"/>
          <w:szCs w:val="32"/>
        </w:rPr>
        <w:t>0471-3602908</w:t>
      </w:r>
      <w:r w:rsidRPr="0044589D">
        <w:rPr>
          <w:rFonts w:ascii="仿宋_GB2312" w:eastAsia="仿宋_GB2312" w:hAnsi="Times New Roman" w:cs="仿宋_GB2312" w:hint="eastAsia"/>
          <w:sz w:val="32"/>
          <w:szCs w:val="32"/>
        </w:rPr>
        <w:t>。</w:t>
      </w:r>
    </w:p>
    <w:p w:rsidR="004D673B" w:rsidRPr="0044589D" w:rsidRDefault="004D673B" w:rsidP="0044589D">
      <w:pPr>
        <w:pStyle w:val="NormalWeb"/>
        <w:tabs>
          <w:tab w:val="left" w:pos="1080"/>
        </w:tabs>
        <w:spacing w:before="0" w:beforeAutospacing="0" w:after="0" w:afterAutospacing="0" w:line="580" w:lineRule="exact"/>
        <w:jc w:val="both"/>
        <w:rPr>
          <w:rFonts w:ascii="仿宋_GB2312" w:eastAsia="仿宋_GB2312" w:cs="Times New Roman"/>
          <w:kern w:val="2"/>
          <w:sz w:val="32"/>
          <w:szCs w:val="32"/>
        </w:rPr>
      </w:pPr>
    </w:p>
    <w:p w:rsidR="004D673B" w:rsidRDefault="004D673B" w:rsidP="0044589D">
      <w:pPr>
        <w:pStyle w:val="NormalWeb"/>
        <w:tabs>
          <w:tab w:val="left" w:pos="1080"/>
        </w:tabs>
        <w:spacing w:before="0" w:beforeAutospacing="0" w:after="0" w:afterAutospacing="0" w:line="580" w:lineRule="exact"/>
        <w:jc w:val="both"/>
        <w:rPr>
          <w:rFonts w:cs="Times New Roman"/>
          <w:kern w:val="2"/>
          <w:sz w:val="28"/>
          <w:szCs w:val="28"/>
        </w:rPr>
      </w:pPr>
    </w:p>
    <w:p w:rsidR="004D673B" w:rsidRDefault="004D673B" w:rsidP="0044589D">
      <w:pPr>
        <w:pStyle w:val="NormalWeb"/>
        <w:tabs>
          <w:tab w:val="left" w:pos="1080"/>
        </w:tabs>
        <w:spacing w:before="0" w:beforeAutospacing="0" w:after="0" w:afterAutospacing="0" w:line="580" w:lineRule="exact"/>
        <w:jc w:val="both"/>
        <w:rPr>
          <w:rFonts w:cs="Times New Roman"/>
          <w:kern w:val="2"/>
          <w:sz w:val="28"/>
          <w:szCs w:val="28"/>
        </w:rPr>
      </w:pPr>
    </w:p>
    <w:sectPr w:rsidR="004D673B" w:rsidSect="00F9470A">
      <w:pgSz w:w="11906" w:h="16838"/>
      <w:pgMar w:top="2041" w:right="1474" w:bottom="170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73B" w:rsidRDefault="004D673B" w:rsidP="00055429">
      <w:pPr>
        <w:rPr>
          <w:rFonts w:cs="Times New Roman"/>
        </w:rPr>
      </w:pPr>
      <w:r>
        <w:rPr>
          <w:rFonts w:cs="Times New Roman"/>
        </w:rPr>
        <w:separator/>
      </w:r>
    </w:p>
  </w:endnote>
  <w:endnote w:type="continuationSeparator" w:id="0">
    <w:p w:rsidR="004D673B" w:rsidRDefault="004D673B" w:rsidP="0005542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73B" w:rsidRDefault="004D673B" w:rsidP="00055429">
      <w:pPr>
        <w:rPr>
          <w:rFonts w:cs="Times New Roman"/>
        </w:rPr>
      </w:pPr>
      <w:r>
        <w:rPr>
          <w:rFonts w:cs="Times New Roman"/>
        </w:rPr>
        <w:separator/>
      </w:r>
    </w:p>
  </w:footnote>
  <w:footnote w:type="continuationSeparator" w:id="0">
    <w:p w:rsidR="004D673B" w:rsidRDefault="004D673B" w:rsidP="0005542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F08"/>
    <w:multiLevelType w:val="hybridMultilevel"/>
    <w:tmpl w:val="CB225592"/>
    <w:lvl w:ilvl="0" w:tplc="318654F0">
      <w:start w:val="5"/>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32E7F68"/>
    <w:multiLevelType w:val="hybridMultilevel"/>
    <w:tmpl w:val="DC3A3B40"/>
    <w:lvl w:ilvl="0" w:tplc="E0C47924">
      <w:numFmt w:val="decimal"/>
      <w:lvlText w:val="%1"/>
      <w:lvlJc w:val="left"/>
      <w:pPr>
        <w:ind w:left="720" w:hanging="360"/>
      </w:pPr>
      <w:rPr>
        <w:rFonts w:hint="default"/>
        <w:color w:val="auto"/>
        <w:sz w:val="36"/>
        <w:szCs w:val="36"/>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nsid w:val="45114DE2"/>
    <w:multiLevelType w:val="multilevel"/>
    <w:tmpl w:val="45114DE2"/>
    <w:lvl w:ilvl="0">
      <w:start w:val="1"/>
      <w:numFmt w:val="decimal"/>
      <w:lvlText w:val="%1、"/>
      <w:lvlJc w:val="left"/>
      <w:pPr>
        <w:tabs>
          <w:tab w:val="left" w:pos="1280"/>
        </w:tabs>
        <w:ind w:left="1280" w:hanging="720"/>
      </w:pPr>
      <w:rPr>
        <w:rFonts w:hint="default"/>
      </w:r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3">
    <w:nsid w:val="4BC623F0"/>
    <w:multiLevelType w:val="hybridMultilevel"/>
    <w:tmpl w:val="4950DA82"/>
    <w:lvl w:ilvl="0" w:tplc="7C400872">
      <w:start w:val="1"/>
      <w:numFmt w:val="japaneseCounting"/>
      <w:lvlText w:val="%1"/>
      <w:lvlJc w:val="left"/>
      <w:pPr>
        <w:ind w:left="360" w:hanging="360"/>
      </w:pPr>
      <w:rPr>
        <w:rFonts w:hAnsi="宋体"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4116851"/>
    <w:multiLevelType w:val="multilevel"/>
    <w:tmpl w:val="54116851"/>
    <w:lvl w:ilvl="0">
      <w:start w:val="1"/>
      <w:numFmt w:val="japaneseCounting"/>
      <w:lvlText w:val="第%1条"/>
      <w:lvlJc w:val="left"/>
      <w:pPr>
        <w:ind w:left="2426" w:hanging="1575"/>
      </w:pPr>
      <w:rPr>
        <w:rFonts w:hint="default"/>
        <w:b/>
        <w:bCs/>
      </w:rPr>
    </w:lvl>
    <w:lvl w:ilvl="1">
      <w:start w:val="1"/>
      <w:numFmt w:val="lowerLetter"/>
      <w:lvlText w:val="%2)"/>
      <w:lvlJc w:val="left"/>
      <w:pPr>
        <w:ind w:left="-154" w:hanging="420"/>
      </w:pPr>
    </w:lvl>
    <w:lvl w:ilvl="2">
      <w:start w:val="1"/>
      <w:numFmt w:val="lowerRoman"/>
      <w:lvlText w:val="%3."/>
      <w:lvlJc w:val="right"/>
      <w:pPr>
        <w:ind w:left="266" w:hanging="420"/>
      </w:pPr>
    </w:lvl>
    <w:lvl w:ilvl="3">
      <w:start w:val="1"/>
      <w:numFmt w:val="decimal"/>
      <w:lvlText w:val="%4."/>
      <w:lvlJc w:val="left"/>
      <w:pPr>
        <w:ind w:left="686" w:hanging="420"/>
      </w:pPr>
    </w:lvl>
    <w:lvl w:ilvl="4">
      <w:start w:val="1"/>
      <w:numFmt w:val="lowerLetter"/>
      <w:lvlText w:val="%5)"/>
      <w:lvlJc w:val="left"/>
      <w:pPr>
        <w:ind w:left="1106" w:hanging="420"/>
      </w:pPr>
    </w:lvl>
    <w:lvl w:ilvl="5">
      <w:start w:val="1"/>
      <w:numFmt w:val="lowerRoman"/>
      <w:lvlText w:val="%6."/>
      <w:lvlJc w:val="right"/>
      <w:pPr>
        <w:ind w:left="1526" w:hanging="420"/>
      </w:pPr>
    </w:lvl>
    <w:lvl w:ilvl="6">
      <w:start w:val="1"/>
      <w:numFmt w:val="decimal"/>
      <w:lvlText w:val="%7."/>
      <w:lvlJc w:val="left"/>
      <w:pPr>
        <w:ind w:left="1946" w:hanging="420"/>
      </w:pPr>
    </w:lvl>
    <w:lvl w:ilvl="7">
      <w:start w:val="1"/>
      <w:numFmt w:val="lowerLetter"/>
      <w:lvlText w:val="%8)"/>
      <w:lvlJc w:val="left"/>
      <w:pPr>
        <w:ind w:left="2366" w:hanging="420"/>
      </w:pPr>
    </w:lvl>
    <w:lvl w:ilvl="8">
      <w:start w:val="1"/>
      <w:numFmt w:val="lowerRoman"/>
      <w:lvlText w:val="%9."/>
      <w:lvlJc w:val="right"/>
      <w:pPr>
        <w:ind w:left="2786"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3FD0"/>
    <w:rsid w:val="000001E2"/>
    <w:rsid w:val="00010269"/>
    <w:rsid w:val="0001275D"/>
    <w:rsid w:val="00017D35"/>
    <w:rsid w:val="000379C2"/>
    <w:rsid w:val="0005315C"/>
    <w:rsid w:val="00055429"/>
    <w:rsid w:val="00062171"/>
    <w:rsid w:val="00064E45"/>
    <w:rsid w:val="000751DF"/>
    <w:rsid w:val="000824DD"/>
    <w:rsid w:val="00092FC8"/>
    <w:rsid w:val="00095730"/>
    <w:rsid w:val="00097406"/>
    <w:rsid w:val="000A16F4"/>
    <w:rsid w:val="000B4193"/>
    <w:rsid w:val="000C32E8"/>
    <w:rsid w:val="000C4400"/>
    <w:rsid w:val="000D4436"/>
    <w:rsid w:val="000D44F8"/>
    <w:rsid w:val="000E111F"/>
    <w:rsid w:val="000E2219"/>
    <w:rsid w:val="000E3768"/>
    <w:rsid w:val="000E788F"/>
    <w:rsid w:val="000F6F65"/>
    <w:rsid w:val="000F7682"/>
    <w:rsid w:val="00113C8F"/>
    <w:rsid w:val="001161BB"/>
    <w:rsid w:val="0012300F"/>
    <w:rsid w:val="0012667A"/>
    <w:rsid w:val="00132174"/>
    <w:rsid w:val="001329A4"/>
    <w:rsid w:val="00142A25"/>
    <w:rsid w:val="00172268"/>
    <w:rsid w:val="00174040"/>
    <w:rsid w:val="001755AF"/>
    <w:rsid w:val="00177ABC"/>
    <w:rsid w:val="00180960"/>
    <w:rsid w:val="00182A6E"/>
    <w:rsid w:val="00197D63"/>
    <w:rsid w:val="001A16FF"/>
    <w:rsid w:val="001A4DCC"/>
    <w:rsid w:val="001C188F"/>
    <w:rsid w:val="001C6B40"/>
    <w:rsid w:val="001D41A3"/>
    <w:rsid w:val="001E1918"/>
    <w:rsid w:val="001F163E"/>
    <w:rsid w:val="00201595"/>
    <w:rsid w:val="0020250C"/>
    <w:rsid w:val="002074CA"/>
    <w:rsid w:val="002102FA"/>
    <w:rsid w:val="00220706"/>
    <w:rsid w:val="0022608C"/>
    <w:rsid w:val="00236B9E"/>
    <w:rsid w:val="00244DC1"/>
    <w:rsid w:val="0025535F"/>
    <w:rsid w:val="002557BE"/>
    <w:rsid w:val="00263991"/>
    <w:rsid w:val="002709A2"/>
    <w:rsid w:val="00271FD5"/>
    <w:rsid w:val="0028523B"/>
    <w:rsid w:val="00293856"/>
    <w:rsid w:val="002A1120"/>
    <w:rsid w:val="002A1FB4"/>
    <w:rsid w:val="002A347E"/>
    <w:rsid w:val="002B0025"/>
    <w:rsid w:val="002B0E3C"/>
    <w:rsid w:val="002C7C8C"/>
    <w:rsid w:val="002D17D3"/>
    <w:rsid w:val="002D193F"/>
    <w:rsid w:val="002D461B"/>
    <w:rsid w:val="002D65B8"/>
    <w:rsid w:val="002E6CFE"/>
    <w:rsid w:val="002F6445"/>
    <w:rsid w:val="00303FD0"/>
    <w:rsid w:val="003202F5"/>
    <w:rsid w:val="003363B2"/>
    <w:rsid w:val="00341E66"/>
    <w:rsid w:val="00346443"/>
    <w:rsid w:val="003500AB"/>
    <w:rsid w:val="003518B1"/>
    <w:rsid w:val="00374377"/>
    <w:rsid w:val="003746A6"/>
    <w:rsid w:val="00374E8A"/>
    <w:rsid w:val="00380B27"/>
    <w:rsid w:val="00393F04"/>
    <w:rsid w:val="0039590F"/>
    <w:rsid w:val="003A167B"/>
    <w:rsid w:val="003A5455"/>
    <w:rsid w:val="003B0AB9"/>
    <w:rsid w:val="003B390B"/>
    <w:rsid w:val="003C0FE3"/>
    <w:rsid w:val="003C59B1"/>
    <w:rsid w:val="003C5ED4"/>
    <w:rsid w:val="003D3D3D"/>
    <w:rsid w:val="003D506B"/>
    <w:rsid w:val="003D5FAF"/>
    <w:rsid w:val="003D697A"/>
    <w:rsid w:val="003E0A05"/>
    <w:rsid w:val="003E4C30"/>
    <w:rsid w:val="003F0A27"/>
    <w:rsid w:val="003F64D0"/>
    <w:rsid w:val="004020EF"/>
    <w:rsid w:val="00404D18"/>
    <w:rsid w:val="00406026"/>
    <w:rsid w:val="00411D58"/>
    <w:rsid w:val="00423B58"/>
    <w:rsid w:val="00430108"/>
    <w:rsid w:val="00434A94"/>
    <w:rsid w:val="0044589D"/>
    <w:rsid w:val="00450EC6"/>
    <w:rsid w:val="0045113D"/>
    <w:rsid w:val="004551AE"/>
    <w:rsid w:val="00455E7C"/>
    <w:rsid w:val="00461962"/>
    <w:rsid w:val="00466169"/>
    <w:rsid w:val="00467528"/>
    <w:rsid w:val="00470817"/>
    <w:rsid w:val="004722E1"/>
    <w:rsid w:val="00484A1F"/>
    <w:rsid w:val="00490C46"/>
    <w:rsid w:val="00494592"/>
    <w:rsid w:val="00494A64"/>
    <w:rsid w:val="00494CC0"/>
    <w:rsid w:val="00497F6E"/>
    <w:rsid w:val="004A152F"/>
    <w:rsid w:val="004C42A1"/>
    <w:rsid w:val="004D48F2"/>
    <w:rsid w:val="004D63E9"/>
    <w:rsid w:val="004D673B"/>
    <w:rsid w:val="004F5C4F"/>
    <w:rsid w:val="00500000"/>
    <w:rsid w:val="00501C08"/>
    <w:rsid w:val="00502149"/>
    <w:rsid w:val="0050252B"/>
    <w:rsid w:val="005141CD"/>
    <w:rsid w:val="00531368"/>
    <w:rsid w:val="005416BC"/>
    <w:rsid w:val="00542112"/>
    <w:rsid w:val="005545EF"/>
    <w:rsid w:val="0055791A"/>
    <w:rsid w:val="00562900"/>
    <w:rsid w:val="00563253"/>
    <w:rsid w:val="00570786"/>
    <w:rsid w:val="00571BB1"/>
    <w:rsid w:val="00575626"/>
    <w:rsid w:val="00576BFA"/>
    <w:rsid w:val="005806D6"/>
    <w:rsid w:val="00585A43"/>
    <w:rsid w:val="005A4D06"/>
    <w:rsid w:val="005B5846"/>
    <w:rsid w:val="005C022C"/>
    <w:rsid w:val="005C5C93"/>
    <w:rsid w:val="005C6511"/>
    <w:rsid w:val="005C6610"/>
    <w:rsid w:val="005D533F"/>
    <w:rsid w:val="005E06FE"/>
    <w:rsid w:val="005E6E9C"/>
    <w:rsid w:val="005E7AAC"/>
    <w:rsid w:val="005F0108"/>
    <w:rsid w:val="005F3D8C"/>
    <w:rsid w:val="00610900"/>
    <w:rsid w:val="00617C90"/>
    <w:rsid w:val="00625511"/>
    <w:rsid w:val="00640CD0"/>
    <w:rsid w:val="006433C2"/>
    <w:rsid w:val="006533A1"/>
    <w:rsid w:val="00664783"/>
    <w:rsid w:val="0068758A"/>
    <w:rsid w:val="006A1630"/>
    <w:rsid w:val="006A67EC"/>
    <w:rsid w:val="006B634A"/>
    <w:rsid w:val="006E6ECC"/>
    <w:rsid w:val="006F68EC"/>
    <w:rsid w:val="00701782"/>
    <w:rsid w:val="00705BA3"/>
    <w:rsid w:val="00706C48"/>
    <w:rsid w:val="00722D63"/>
    <w:rsid w:val="00733AEF"/>
    <w:rsid w:val="0075001E"/>
    <w:rsid w:val="007505D7"/>
    <w:rsid w:val="007610B4"/>
    <w:rsid w:val="00761835"/>
    <w:rsid w:val="00771A66"/>
    <w:rsid w:val="00777352"/>
    <w:rsid w:val="007838CA"/>
    <w:rsid w:val="00783A23"/>
    <w:rsid w:val="00783AD6"/>
    <w:rsid w:val="00784801"/>
    <w:rsid w:val="00790A71"/>
    <w:rsid w:val="00792A4D"/>
    <w:rsid w:val="00794A52"/>
    <w:rsid w:val="007A50A9"/>
    <w:rsid w:val="007B3EBC"/>
    <w:rsid w:val="007B61F7"/>
    <w:rsid w:val="007C31D3"/>
    <w:rsid w:val="007C53CF"/>
    <w:rsid w:val="007D1A0B"/>
    <w:rsid w:val="007E1F4B"/>
    <w:rsid w:val="007F02B8"/>
    <w:rsid w:val="007F7E40"/>
    <w:rsid w:val="0080086E"/>
    <w:rsid w:val="008041DC"/>
    <w:rsid w:val="008131F4"/>
    <w:rsid w:val="00817D35"/>
    <w:rsid w:val="00827157"/>
    <w:rsid w:val="00827389"/>
    <w:rsid w:val="008277DA"/>
    <w:rsid w:val="00833CE2"/>
    <w:rsid w:val="00841902"/>
    <w:rsid w:val="0084687D"/>
    <w:rsid w:val="00853CAA"/>
    <w:rsid w:val="00854F32"/>
    <w:rsid w:val="00854FA9"/>
    <w:rsid w:val="008653E2"/>
    <w:rsid w:val="00876ACF"/>
    <w:rsid w:val="00883A84"/>
    <w:rsid w:val="008951B8"/>
    <w:rsid w:val="0089532D"/>
    <w:rsid w:val="00895344"/>
    <w:rsid w:val="008A4D03"/>
    <w:rsid w:val="008A7199"/>
    <w:rsid w:val="008C2601"/>
    <w:rsid w:val="008C5C93"/>
    <w:rsid w:val="008D61BB"/>
    <w:rsid w:val="008E2336"/>
    <w:rsid w:val="008E366F"/>
    <w:rsid w:val="008E66F4"/>
    <w:rsid w:val="008F6D7C"/>
    <w:rsid w:val="00901195"/>
    <w:rsid w:val="0090294E"/>
    <w:rsid w:val="00905D40"/>
    <w:rsid w:val="00906290"/>
    <w:rsid w:val="00913437"/>
    <w:rsid w:val="009165E4"/>
    <w:rsid w:val="0094395A"/>
    <w:rsid w:val="00950188"/>
    <w:rsid w:val="00957A97"/>
    <w:rsid w:val="009639D6"/>
    <w:rsid w:val="00970B17"/>
    <w:rsid w:val="009758EA"/>
    <w:rsid w:val="009876A1"/>
    <w:rsid w:val="0099141C"/>
    <w:rsid w:val="00991BD6"/>
    <w:rsid w:val="009A0BF6"/>
    <w:rsid w:val="009B137C"/>
    <w:rsid w:val="009C06C7"/>
    <w:rsid w:val="009C07A6"/>
    <w:rsid w:val="009C4A65"/>
    <w:rsid w:val="009D1153"/>
    <w:rsid w:val="009D72BB"/>
    <w:rsid w:val="009E060F"/>
    <w:rsid w:val="009E115E"/>
    <w:rsid w:val="009E7106"/>
    <w:rsid w:val="009F140C"/>
    <w:rsid w:val="009F3ADD"/>
    <w:rsid w:val="00A03342"/>
    <w:rsid w:val="00A05AE1"/>
    <w:rsid w:val="00A4150D"/>
    <w:rsid w:val="00A44CC5"/>
    <w:rsid w:val="00A47751"/>
    <w:rsid w:val="00A54324"/>
    <w:rsid w:val="00A57CE6"/>
    <w:rsid w:val="00A6380A"/>
    <w:rsid w:val="00A85EC2"/>
    <w:rsid w:val="00A963A2"/>
    <w:rsid w:val="00AA0336"/>
    <w:rsid w:val="00AA1515"/>
    <w:rsid w:val="00AA521D"/>
    <w:rsid w:val="00AB3B71"/>
    <w:rsid w:val="00AB51DA"/>
    <w:rsid w:val="00AD5F62"/>
    <w:rsid w:val="00AD636C"/>
    <w:rsid w:val="00AE114E"/>
    <w:rsid w:val="00AE173B"/>
    <w:rsid w:val="00AE19DA"/>
    <w:rsid w:val="00AE1A45"/>
    <w:rsid w:val="00AF2421"/>
    <w:rsid w:val="00AF3E84"/>
    <w:rsid w:val="00B11909"/>
    <w:rsid w:val="00B25141"/>
    <w:rsid w:val="00B40DE2"/>
    <w:rsid w:val="00B635F9"/>
    <w:rsid w:val="00B64EF1"/>
    <w:rsid w:val="00B665BE"/>
    <w:rsid w:val="00B77A60"/>
    <w:rsid w:val="00B82A74"/>
    <w:rsid w:val="00B9133F"/>
    <w:rsid w:val="00B95B8A"/>
    <w:rsid w:val="00B97178"/>
    <w:rsid w:val="00BB1FFF"/>
    <w:rsid w:val="00BC2BAD"/>
    <w:rsid w:val="00BC7097"/>
    <w:rsid w:val="00BC7700"/>
    <w:rsid w:val="00BD3E70"/>
    <w:rsid w:val="00BE10BF"/>
    <w:rsid w:val="00BE2EF3"/>
    <w:rsid w:val="00BE6794"/>
    <w:rsid w:val="00BF3D82"/>
    <w:rsid w:val="00BF4A76"/>
    <w:rsid w:val="00C33677"/>
    <w:rsid w:val="00C47296"/>
    <w:rsid w:val="00C500B9"/>
    <w:rsid w:val="00C80505"/>
    <w:rsid w:val="00C91CC9"/>
    <w:rsid w:val="00C948EA"/>
    <w:rsid w:val="00C94D33"/>
    <w:rsid w:val="00C95AF8"/>
    <w:rsid w:val="00CA4ABB"/>
    <w:rsid w:val="00CB031E"/>
    <w:rsid w:val="00CB5695"/>
    <w:rsid w:val="00CD6DB7"/>
    <w:rsid w:val="00CE1844"/>
    <w:rsid w:val="00CE48BB"/>
    <w:rsid w:val="00CF010A"/>
    <w:rsid w:val="00D01DEE"/>
    <w:rsid w:val="00D1044F"/>
    <w:rsid w:val="00D14459"/>
    <w:rsid w:val="00D26323"/>
    <w:rsid w:val="00D32232"/>
    <w:rsid w:val="00D407E4"/>
    <w:rsid w:val="00D47888"/>
    <w:rsid w:val="00D502C3"/>
    <w:rsid w:val="00D52FF8"/>
    <w:rsid w:val="00D57C66"/>
    <w:rsid w:val="00D61045"/>
    <w:rsid w:val="00D634D8"/>
    <w:rsid w:val="00D7380B"/>
    <w:rsid w:val="00D73D3D"/>
    <w:rsid w:val="00D74D4A"/>
    <w:rsid w:val="00D83E1B"/>
    <w:rsid w:val="00DA68E5"/>
    <w:rsid w:val="00DC094A"/>
    <w:rsid w:val="00DC7607"/>
    <w:rsid w:val="00DD157B"/>
    <w:rsid w:val="00DD3803"/>
    <w:rsid w:val="00DD5CD4"/>
    <w:rsid w:val="00DE3354"/>
    <w:rsid w:val="00DE6B8E"/>
    <w:rsid w:val="00DF06F3"/>
    <w:rsid w:val="00DF3B7A"/>
    <w:rsid w:val="00E046F9"/>
    <w:rsid w:val="00E05E16"/>
    <w:rsid w:val="00E07045"/>
    <w:rsid w:val="00E169C4"/>
    <w:rsid w:val="00E30A45"/>
    <w:rsid w:val="00E30EB5"/>
    <w:rsid w:val="00E3784A"/>
    <w:rsid w:val="00E42C19"/>
    <w:rsid w:val="00E43231"/>
    <w:rsid w:val="00E51B80"/>
    <w:rsid w:val="00E51F96"/>
    <w:rsid w:val="00E63887"/>
    <w:rsid w:val="00E71AA9"/>
    <w:rsid w:val="00E755D4"/>
    <w:rsid w:val="00E758D4"/>
    <w:rsid w:val="00E83545"/>
    <w:rsid w:val="00EA1ACE"/>
    <w:rsid w:val="00EB0E23"/>
    <w:rsid w:val="00EB5168"/>
    <w:rsid w:val="00ED1986"/>
    <w:rsid w:val="00EE5E7A"/>
    <w:rsid w:val="00F127A7"/>
    <w:rsid w:val="00F16215"/>
    <w:rsid w:val="00F21A36"/>
    <w:rsid w:val="00F34BA1"/>
    <w:rsid w:val="00F37215"/>
    <w:rsid w:val="00F37288"/>
    <w:rsid w:val="00F60650"/>
    <w:rsid w:val="00F72C4A"/>
    <w:rsid w:val="00F779BD"/>
    <w:rsid w:val="00F80394"/>
    <w:rsid w:val="00F81D07"/>
    <w:rsid w:val="00F84C27"/>
    <w:rsid w:val="00F9470A"/>
    <w:rsid w:val="00FA36F9"/>
    <w:rsid w:val="00FA4CB1"/>
    <w:rsid w:val="00FB19E6"/>
    <w:rsid w:val="00FB2250"/>
    <w:rsid w:val="00FB7B49"/>
    <w:rsid w:val="00FC7BF3"/>
    <w:rsid w:val="00FE0B44"/>
    <w:rsid w:val="00FE126C"/>
    <w:rsid w:val="00FF2C3E"/>
    <w:rsid w:val="00FF50CA"/>
    <w:rsid w:val="45BB7DC0"/>
    <w:rsid w:val="6E776E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BD"/>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779BD"/>
    <w:rPr>
      <w:kern w:val="0"/>
      <w:sz w:val="18"/>
      <w:szCs w:val="18"/>
    </w:rPr>
  </w:style>
  <w:style w:type="character" w:customStyle="1" w:styleId="BalloonTextChar">
    <w:name w:val="Balloon Text Char"/>
    <w:basedOn w:val="DefaultParagraphFont"/>
    <w:link w:val="BalloonText"/>
    <w:uiPriority w:val="99"/>
    <w:semiHidden/>
    <w:locked/>
    <w:rsid w:val="00F779BD"/>
    <w:rPr>
      <w:sz w:val="18"/>
      <w:szCs w:val="18"/>
    </w:rPr>
  </w:style>
  <w:style w:type="paragraph" w:styleId="Footer">
    <w:name w:val="footer"/>
    <w:basedOn w:val="Normal"/>
    <w:link w:val="FooterChar"/>
    <w:uiPriority w:val="99"/>
    <w:semiHidden/>
    <w:rsid w:val="00F779BD"/>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F779BD"/>
    <w:rPr>
      <w:sz w:val="18"/>
      <w:szCs w:val="18"/>
    </w:rPr>
  </w:style>
  <w:style w:type="paragraph" w:styleId="Header">
    <w:name w:val="header"/>
    <w:basedOn w:val="Normal"/>
    <w:link w:val="HeaderChar"/>
    <w:uiPriority w:val="99"/>
    <w:semiHidden/>
    <w:rsid w:val="00F779BD"/>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F779BD"/>
    <w:rPr>
      <w:sz w:val="18"/>
      <w:szCs w:val="18"/>
    </w:rPr>
  </w:style>
  <w:style w:type="paragraph" w:styleId="NormalWeb">
    <w:name w:val="Normal (Web)"/>
    <w:basedOn w:val="Normal"/>
    <w:uiPriority w:val="99"/>
    <w:rsid w:val="00F779BD"/>
    <w:pPr>
      <w:widowControl/>
      <w:spacing w:before="100" w:beforeAutospacing="1" w:after="100" w:afterAutospacing="1"/>
      <w:jc w:val="left"/>
    </w:pPr>
    <w:rPr>
      <w:rFonts w:ascii="宋体" w:hAnsi="宋体" w:cs="宋体"/>
      <w:kern w:val="0"/>
      <w:sz w:val="24"/>
      <w:szCs w:val="24"/>
    </w:rPr>
  </w:style>
  <w:style w:type="paragraph" w:customStyle="1" w:styleId="style1">
    <w:name w:val="style1"/>
    <w:basedOn w:val="Normal"/>
    <w:uiPriority w:val="99"/>
    <w:rsid w:val="00F779BD"/>
    <w:pPr>
      <w:widowControl/>
      <w:spacing w:before="100" w:beforeAutospacing="1" w:after="100" w:afterAutospacing="1"/>
      <w:jc w:val="left"/>
    </w:pPr>
    <w:rPr>
      <w:rFonts w:ascii="宋体" w:hAnsi="宋体" w:cs="宋体"/>
      <w:kern w:val="0"/>
      <w:sz w:val="24"/>
      <w:szCs w:val="24"/>
    </w:rPr>
  </w:style>
  <w:style w:type="character" w:customStyle="1" w:styleId="style131">
    <w:name w:val="style131"/>
    <w:uiPriority w:val="99"/>
    <w:rsid w:val="00F779BD"/>
    <w:rPr>
      <w:sz w:val="15"/>
      <w:szCs w:val="15"/>
    </w:rPr>
  </w:style>
  <w:style w:type="paragraph" w:customStyle="1" w:styleId="style13">
    <w:name w:val="style13"/>
    <w:basedOn w:val="Normal"/>
    <w:uiPriority w:val="99"/>
    <w:rsid w:val="00F779BD"/>
    <w:pPr>
      <w:widowControl/>
      <w:spacing w:before="100" w:beforeAutospacing="1" w:after="100" w:afterAutospacing="1"/>
      <w:jc w:val="left"/>
    </w:pPr>
    <w:rPr>
      <w:rFonts w:ascii="宋体" w:hAnsi="宋体" w:cs="宋体"/>
      <w:kern w:val="0"/>
      <w:sz w:val="15"/>
      <w:szCs w:val="15"/>
    </w:rPr>
  </w:style>
  <w:style w:type="paragraph" w:customStyle="1" w:styleId="CharCharCharCharCharCharCharCharCharChar">
    <w:name w:val="Char Char Char Char Char Char Char Char Char Char"/>
    <w:basedOn w:val="Normal"/>
    <w:uiPriority w:val="99"/>
    <w:rsid w:val="00F779BD"/>
    <w:rPr>
      <w:rFonts w:ascii="Tahoma" w:hAnsi="Tahoma" w:cs="Tahoma"/>
      <w:sz w:val="24"/>
      <w:szCs w:val="24"/>
    </w:rPr>
  </w:style>
  <w:style w:type="character" w:styleId="CommentReference">
    <w:name w:val="annotation reference"/>
    <w:basedOn w:val="DefaultParagraphFont"/>
    <w:uiPriority w:val="99"/>
    <w:semiHidden/>
    <w:rsid w:val="0075001E"/>
    <w:rPr>
      <w:sz w:val="21"/>
      <w:szCs w:val="21"/>
    </w:rPr>
  </w:style>
  <w:style w:type="paragraph" w:styleId="CommentText">
    <w:name w:val="annotation text"/>
    <w:basedOn w:val="Normal"/>
    <w:link w:val="CommentTextChar"/>
    <w:uiPriority w:val="99"/>
    <w:semiHidden/>
    <w:rsid w:val="0075001E"/>
    <w:pPr>
      <w:jc w:val="left"/>
    </w:pPr>
  </w:style>
  <w:style w:type="character" w:customStyle="1" w:styleId="CommentTextChar">
    <w:name w:val="Comment Text Char"/>
    <w:basedOn w:val="DefaultParagraphFont"/>
    <w:link w:val="CommentText"/>
    <w:uiPriority w:val="99"/>
    <w:semiHidden/>
    <w:locked/>
    <w:rsid w:val="0075001E"/>
    <w:rPr>
      <w:kern w:val="2"/>
      <w:sz w:val="21"/>
      <w:szCs w:val="21"/>
    </w:rPr>
  </w:style>
  <w:style w:type="paragraph" w:styleId="CommentSubject">
    <w:name w:val="annotation subject"/>
    <w:basedOn w:val="CommentText"/>
    <w:next w:val="CommentText"/>
    <w:link w:val="CommentSubjectChar"/>
    <w:uiPriority w:val="99"/>
    <w:semiHidden/>
    <w:rsid w:val="0075001E"/>
    <w:rPr>
      <w:b/>
      <w:bCs/>
    </w:rPr>
  </w:style>
  <w:style w:type="character" w:customStyle="1" w:styleId="CommentSubjectChar">
    <w:name w:val="Comment Subject Char"/>
    <w:basedOn w:val="CommentTextChar"/>
    <w:link w:val="CommentSubject"/>
    <w:uiPriority w:val="99"/>
    <w:semiHidden/>
    <w:locked/>
    <w:rsid w:val="0075001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4</Pages>
  <Words>208</Words>
  <Characters>1188</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ly</cp:lastModifiedBy>
  <cp:revision>16</cp:revision>
  <cp:lastPrinted>2019-03-19T06:26:00Z</cp:lastPrinted>
  <dcterms:created xsi:type="dcterms:W3CDTF">2020-05-13T07:14:00Z</dcterms:created>
  <dcterms:modified xsi:type="dcterms:W3CDTF">2020-05-18T04:37:00Z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