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景区电商项目-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店铺主页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895"/>
      <w:bookmarkStart w:id="4" w:name="_Toc297117190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项目-店铺</w:t>
            </w:r>
            <w:r>
              <w:rPr>
                <w:rFonts w:hint="eastAsia"/>
                <w:sz w:val="28"/>
                <w:szCs w:val="28"/>
                <w:lang w:eastAsia="zh-CN"/>
              </w:rPr>
              <w:t>主页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19417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_Toc895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_Toc895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_Toc19417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店铺主页</w:t>
          </w:r>
          <w:r>
            <w:tab/>
          </w:r>
          <w:r>
            <w:fldChar w:fldCharType="begin"/>
          </w:r>
          <w:r>
            <w:instrText xml:space="preserve"> PAGEREF _Toc2764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根据店铺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ID查询店铺信息</w:t>
          </w:r>
          <w:r>
            <w:tab/>
          </w:r>
          <w:r>
            <w:fldChar w:fldCharType="begin"/>
          </w:r>
          <w:r>
            <w:instrText xml:space="preserve"> PAGEREF _Toc26329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_Toc9523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_Toc9523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_Toc23319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_Toc27972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查询最新商品</w:t>
          </w:r>
          <w:r>
            <w:tab/>
          </w:r>
          <w:r>
            <w:fldChar w:fldCharType="begin"/>
          </w:r>
          <w:r>
            <w:instrText xml:space="preserve"> PAGEREF _Toc18206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_Toc17565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_Toc13932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_Toc16332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分页获取店铺全部商品</w:t>
          </w:r>
          <w:r>
            <w:tab/>
          </w:r>
          <w:r>
            <w:fldChar w:fldCharType="begin"/>
          </w:r>
          <w:r>
            <w:instrText xml:space="preserve"> PAGEREF _Toc28213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_Toc3727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_Toc3727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_Toc10983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2764"/>
      <w:r>
        <w:rPr>
          <w:rFonts w:hint="eastAsia"/>
          <w:lang w:eastAsia="zh-CN"/>
        </w:rPr>
        <w:t>店铺主页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2632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根据店铺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ID查询店铺信息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9523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根据店铺ID查询店铺信息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23319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shop/shop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info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shopId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1" w:name="_Toc27972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"coverUrl": "http://172.16.0.200:10080/group1/M00/00/11/rBAAyFx3PpuAP2D9AAGPqTWFjgc303.png",</w:t>
      </w:r>
    </w:p>
    <w:p>
      <w:pPr>
        <w:pStyle w:val="35"/>
        <w:ind w:left="378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店铺封面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"intro": "特产店铺测试方式",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店铺介绍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"frontName": "美女",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店铺前台名称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"logoUrl": "http://172.16.0.200:10080/group1/M00/00/11/rBAAyFx3PqGATNp0AAHf-Elvz70908.png"</w:t>
      </w:r>
      <w:r>
        <w:rPr>
          <w:rFonts w:hint="eastAsia"/>
          <w:lang w:val="en-US" w:eastAsia="zh-CN"/>
        </w:rPr>
        <w:t>,</w:t>
      </w:r>
    </w:p>
    <w:p>
      <w:pPr>
        <w:pStyle w:val="35"/>
        <w:ind w:left="37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店铺LOGO</w:t>
      </w:r>
    </w:p>
    <w:p>
      <w:pPr>
        <w:pStyle w:val="35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"status":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店铺状态（1-未开通账号；2-下架；3-正常营业；）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  <w:bookmarkStart w:id="20" w:name="_GoBack"/>
      <w:bookmarkEnd w:id="20"/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1820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查询最新商品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17565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查询最新商品列表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13932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shop/goods/listShopLatestGoods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shopId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16332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"id":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"img": "http://172.16.0.200:10080/group1/M00/00/13/rBAAyFx93liAIA4hAAHas4hjMPc966.jpg",</w:t>
      </w:r>
    </w:p>
    <w:p>
      <w:pPr>
        <w:pStyle w:val="35"/>
        <w:ind w:left="378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"name": "商品1",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"price": "0.01",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出售价格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"referPrice": "0.01",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划线价格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"stock":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库存数量（0表示已售罄）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"id": 11,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"img": "http://172.16.0.200:10080/group1/M00/00/15/rBAAyFyLB6WAO7DcAAc8cYI9Rpo360.jpg",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"name": "豆豉果",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"price": "0.10",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"referPrice": "0.10",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"stock": 800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28213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分页获取店铺全部商品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3727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分页获取店铺全部商品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18737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shop/goods/listShopGoods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eastAsia="宋体"/>
                <w:lang w:val="en-US" w:eastAsia="zh-CN"/>
              </w:rPr>
              <w:t>shopId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店铺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）*limit，如果第二页就是（2-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）*limit，第n页就是，（n-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limit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10983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"rows":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"id": 14,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"img": "http://172.16.0.200:10080/group1/M00/00/15/rBAAyFyLDxCADPDfAANsmsTsWyM595.jpg",</w:t>
      </w:r>
    </w:p>
    <w:p>
      <w:pPr>
        <w:pStyle w:val="35"/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"name": "纪念品123",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"price": "0.10",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售价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"referPrice": "0.10",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划线价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"stock": 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库存数量（0表示已售罄）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"id": 13,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"img": "http://172.16.0.200:10080/group1/M00/00/15/rBAAyFyLC0mAeYjDAASfgUwq4rc864.jpg",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"name": "瓷雕",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"price": "0.10",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"referPrice": "0.10",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"stock": 400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"total": 5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304626"/>
    <w:multiLevelType w:val="singleLevel"/>
    <w:tmpl w:val="E93046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F0FD43"/>
    <w:multiLevelType w:val="singleLevel"/>
    <w:tmpl w:val="2FF0FD4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A696D"/>
    <w:rsid w:val="077D5A6D"/>
    <w:rsid w:val="082A1A20"/>
    <w:rsid w:val="0833088D"/>
    <w:rsid w:val="09AC211F"/>
    <w:rsid w:val="0BFD0EEB"/>
    <w:rsid w:val="0C10471D"/>
    <w:rsid w:val="0C3F3FEA"/>
    <w:rsid w:val="0FA67861"/>
    <w:rsid w:val="0FC31D00"/>
    <w:rsid w:val="100961E0"/>
    <w:rsid w:val="10BA3D73"/>
    <w:rsid w:val="13A75028"/>
    <w:rsid w:val="153F189A"/>
    <w:rsid w:val="15B62692"/>
    <w:rsid w:val="15F814D9"/>
    <w:rsid w:val="170C04A9"/>
    <w:rsid w:val="17144595"/>
    <w:rsid w:val="175532A0"/>
    <w:rsid w:val="18B01839"/>
    <w:rsid w:val="18FF13CE"/>
    <w:rsid w:val="19D948FA"/>
    <w:rsid w:val="1A79056B"/>
    <w:rsid w:val="1B4803CF"/>
    <w:rsid w:val="1B4964F5"/>
    <w:rsid w:val="1CF215C2"/>
    <w:rsid w:val="1E934285"/>
    <w:rsid w:val="1FD07BEA"/>
    <w:rsid w:val="20374CC5"/>
    <w:rsid w:val="205626C4"/>
    <w:rsid w:val="21862BA7"/>
    <w:rsid w:val="2239102A"/>
    <w:rsid w:val="224D0ADF"/>
    <w:rsid w:val="23C25EEE"/>
    <w:rsid w:val="2527211F"/>
    <w:rsid w:val="25314C56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CF5E37"/>
    <w:rsid w:val="2AD403F7"/>
    <w:rsid w:val="2ADD4573"/>
    <w:rsid w:val="2AE53F80"/>
    <w:rsid w:val="2BFC6651"/>
    <w:rsid w:val="2E533979"/>
    <w:rsid w:val="2EF21777"/>
    <w:rsid w:val="30477445"/>
    <w:rsid w:val="30F47265"/>
    <w:rsid w:val="336E02EC"/>
    <w:rsid w:val="33AC4AB9"/>
    <w:rsid w:val="33DC6B8D"/>
    <w:rsid w:val="359154FF"/>
    <w:rsid w:val="35C14DD6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CE9637D"/>
    <w:rsid w:val="3D643957"/>
    <w:rsid w:val="3DA052DB"/>
    <w:rsid w:val="3DD11D83"/>
    <w:rsid w:val="3E767533"/>
    <w:rsid w:val="3EDA26B3"/>
    <w:rsid w:val="3F6577C2"/>
    <w:rsid w:val="40346A77"/>
    <w:rsid w:val="41DE422E"/>
    <w:rsid w:val="43B55B24"/>
    <w:rsid w:val="43BC66DC"/>
    <w:rsid w:val="442C16C4"/>
    <w:rsid w:val="44361823"/>
    <w:rsid w:val="44F71BAA"/>
    <w:rsid w:val="45B029D9"/>
    <w:rsid w:val="45F37C58"/>
    <w:rsid w:val="45F712CA"/>
    <w:rsid w:val="46AC60A1"/>
    <w:rsid w:val="474430E6"/>
    <w:rsid w:val="479119B1"/>
    <w:rsid w:val="47954A88"/>
    <w:rsid w:val="48541A59"/>
    <w:rsid w:val="487446DB"/>
    <w:rsid w:val="48D11A8F"/>
    <w:rsid w:val="48E55546"/>
    <w:rsid w:val="49054383"/>
    <w:rsid w:val="4BA5644E"/>
    <w:rsid w:val="4C4156C3"/>
    <w:rsid w:val="4D064553"/>
    <w:rsid w:val="4D6757F0"/>
    <w:rsid w:val="4E1D591B"/>
    <w:rsid w:val="4E632F60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FA0D6D"/>
    <w:rsid w:val="5BD04852"/>
    <w:rsid w:val="5C7A390F"/>
    <w:rsid w:val="5CB73EBB"/>
    <w:rsid w:val="5CC709F1"/>
    <w:rsid w:val="5CF907BF"/>
    <w:rsid w:val="5ECB4549"/>
    <w:rsid w:val="5ED47422"/>
    <w:rsid w:val="60B46F46"/>
    <w:rsid w:val="60E11E08"/>
    <w:rsid w:val="613057F7"/>
    <w:rsid w:val="619E2B05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7F041C"/>
    <w:rsid w:val="68A25A94"/>
    <w:rsid w:val="68CE15DB"/>
    <w:rsid w:val="68EA0E91"/>
    <w:rsid w:val="694104F4"/>
    <w:rsid w:val="6A373600"/>
    <w:rsid w:val="6A6824C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4066E2E"/>
    <w:rsid w:val="74432AF7"/>
    <w:rsid w:val="745D64E7"/>
    <w:rsid w:val="750E2BE0"/>
    <w:rsid w:val="764C6EEC"/>
    <w:rsid w:val="76F418E9"/>
    <w:rsid w:val="78184EB4"/>
    <w:rsid w:val="78A82148"/>
    <w:rsid w:val="78E45CA9"/>
    <w:rsid w:val="79585097"/>
    <w:rsid w:val="79B50E1A"/>
    <w:rsid w:val="79DD33E0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2019-04-26T07:06:06Z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