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>
            <w:bookmarkStart w:id="55" w:name="_GoBack"/>
            <w:bookmarkEnd w:id="55"/>
          </w:p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6802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菜单管理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13296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_Toc6802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_Toc6802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_Toc13296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iCs/>
              <w:szCs w:val="28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岗位分类模块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_Toc17432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跳转岗位分类主页</w:t>
          </w:r>
          <w:r>
            <w:tab/>
          </w:r>
          <w:r>
            <w:fldChar w:fldCharType="begin"/>
          </w:r>
          <w:r>
            <w:instrText xml:space="preserve"> PAGEREF _Toc31177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_Toc30057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_Toc30057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_Toc32482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_Toc32482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_Toc13849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_Toc13849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查询岗位分类列表</w:t>
          </w:r>
          <w:r>
            <w:tab/>
          </w:r>
          <w:r>
            <w:fldChar w:fldCharType="begin"/>
          </w:r>
          <w:r>
            <w:instrText xml:space="preserve"> PAGEREF _Toc31618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_Toc30797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_Toc30797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_Toc12359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_Toc12359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_Toc31991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_Toc31991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跳转添加岗位分类页面</w:t>
          </w:r>
          <w:r>
            <w:tab/>
          </w:r>
          <w:r>
            <w:fldChar w:fldCharType="begin"/>
          </w:r>
          <w:r>
            <w:instrText xml:space="preserve"> PAGEREF _Toc31236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_Toc22196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_Toc22196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_Toc3469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_Toc3469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_Toc26869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_Toc26869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添加岗位分类信息</w:t>
          </w:r>
          <w:r>
            <w:tab/>
          </w:r>
          <w:r>
            <w:fldChar w:fldCharType="begin"/>
          </w:r>
          <w:r>
            <w:instrText xml:space="preserve"> PAGEREF _Toc25301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_Toc27931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_Toc21002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_Toc21002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_Toc5538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_Toc5538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跳转修改岗位分类页面</w:t>
          </w:r>
          <w:r>
            <w:tab/>
          </w:r>
          <w:r>
            <w:fldChar w:fldCharType="begin"/>
          </w:r>
          <w:r>
            <w:instrText xml:space="preserve"> PAGEREF _Toc15003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_Toc26525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_Toc26525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_Toc2881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_Toc25866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_Toc25866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修改岗位分类信息</w:t>
          </w:r>
          <w:r>
            <w:tab/>
          </w:r>
          <w:r>
            <w:fldChar w:fldCharType="begin"/>
          </w:r>
          <w:r>
            <w:instrText xml:space="preserve"> PAGEREF _Toc31621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_Toc14020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_Toc15145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_Toc15145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上调岗位分类信息排序</w:t>
          </w:r>
          <w:r>
            <w:tab/>
          </w:r>
          <w:r>
            <w:fldChar w:fldCharType="begin"/>
          </w:r>
          <w:r>
            <w:instrText xml:space="preserve"> PAGEREF _Toc13031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_Toc18079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_Toc18079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_Toc3855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_Toc3493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_Toc3493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下调岗位分类信息排序</w:t>
          </w:r>
          <w:r>
            <w:tab/>
          </w:r>
          <w:r>
            <w:fldChar w:fldCharType="begin"/>
          </w:r>
          <w:r>
            <w:instrText xml:space="preserve"> PAGEREF _Toc8740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22.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_Toc11285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_Toc3941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23.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_Toc3941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_Toc7100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逻辑删除岗位分类信息</w:t>
          </w:r>
          <w:r>
            <w:tab/>
          </w:r>
          <w:r>
            <w:fldChar w:fldCharType="begin"/>
          </w:r>
          <w:r>
            <w:instrText xml:space="preserve"> PAGEREF _Toc26321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_Toc15480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25.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_Toc15480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_Toc16699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26.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_Toc16699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_Toc25210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27.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_Toc25210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17432"/>
      <w:r>
        <w:rPr>
          <w:rFonts w:hint="eastAsia"/>
          <w:lang w:val="en-US" w:eastAsia="zh-CN"/>
        </w:rPr>
        <w:t>岗位分类模块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22286"/>
      <w:bookmarkStart w:id="8" w:name="_Toc3117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跳转岗位分类主页</w:t>
      </w:r>
      <w:bookmarkEnd w:id="7"/>
      <w:bookmarkEnd w:id="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4503"/>
      <w:bookmarkStart w:id="10" w:name="_Toc30057"/>
      <w:r>
        <w:rPr>
          <w:rFonts w:hint="eastAsia"/>
          <w:sz w:val="28"/>
          <w:szCs w:val="28"/>
        </w:rPr>
        <w:t>说明</w:t>
      </w:r>
      <w:bookmarkEnd w:id="9"/>
      <w:bookmarkEnd w:id="1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进入岗位分类页面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7635"/>
      <w:bookmarkStart w:id="12" w:name="_Toc32482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jobtype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4237"/>
      <w:bookmarkStart w:id="14" w:name="_Toc13849"/>
      <w:r>
        <w:rPr>
          <w:rFonts w:hint="eastAsia"/>
          <w:sz w:val="28"/>
          <w:szCs w:val="28"/>
        </w:rPr>
        <w:t>返回格式</w:t>
      </w:r>
      <w:bookmarkEnd w:id="13"/>
      <w:bookmarkEnd w:id="1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hire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jobtype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jobtype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20805"/>
      <w:bookmarkStart w:id="16" w:name="_Toc3161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查询岗位分类列表</w:t>
      </w:r>
      <w:bookmarkEnd w:id="15"/>
      <w:bookmarkEnd w:id="1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26331"/>
      <w:bookmarkStart w:id="18" w:name="_Toc30797"/>
      <w:r>
        <w:rPr>
          <w:rFonts w:hint="eastAsia"/>
          <w:sz w:val="28"/>
          <w:szCs w:val="28"/>
        </w:rPr>
        <w:t>说明</w:t>
      </w:r>
      <w:bookmarkEnd w:id="17"/>
      <w:bookmarkEnd w:id="1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岗位分类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9" w:name="_Toc30605"/>
      <w:bookmarkStart w:id="20" w:name="_Toc12359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jobtype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1799"/>
      <w:bookmarkStart w:id="22" w:name="_Toc31991"/>
      <w:r>
        <w:rPr>
          <w:rFonts w:hint="eastAsia"/>
          <w:sz w:val="28"/>
          <w:szCs w:val="28"/>
        </w:rPr>
        <w:t>返回格式</w:t>
      </w:r>
      <w:bookmarkEnd w:id="21"/>
      <w:bookmarkEnd w:id="2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23" w:name="_Toc12821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4"/>
          <w:rFonts w:hint="eastAsia" w:ascii="Consolas" w:hAnsi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rows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"后端"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//岗位分类名称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//岗位分类id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"jobCount"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//关联岗位数量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"publishCount"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//关联已发布岗位数量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4"/>
          <w:rFonts w:hint="eastAsia" w:ascii="Consolas" w:hAnsi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total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4" w:name="_Toc3123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跳转添加</w:t>
      </w:r>
      <w:bookmarkEnd w:id="2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岗位分类页面</w:t>
      </w:r>
      <w:bookmarkEnd w:id="24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2539"/>
      <w:bookmarkStart w:id="26" w:name="_Toc22196"/>
      <w:r>
        <w:rPr>
          <w:rFonts w:hint="eastAsia"/>
          <w:sz w:val="28"/>
          <w:szCs w:val="28"/>
        </w:rPr>
        <w:t>说明</w:t>
      </w:r>
      <w:bookmarkEnd w:id="25"/>
      <w:bookmarkEnd w:id="2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跳转添加岗位分类页面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7" w:name="_Toc1816"/>
      <w:bookmarkStart w:id="28" w:name="_Toc3469"/>
      <w:r>
        <w:rPr>
          <w:rFonts w:hint="eastAsia"/>
          <w:sz w:val="28"/>
          <w:szCs w:val="28"/>
        </w:rPr>
        <w:t>链接、参数</w:t>
      </w:r>
      <w:bookmarkEnd w:id="27"/>
      <w:bookmarkEnd w:id="2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jobtype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/jobtype_add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4722"/>
      <w:bookmarkStart w:id="30" w:name="_Toc26869"/>
      <w:r>
        <w:rPr>
          <w:rFonts w:hint="eastAsia"/>
          <w:sz w:val="28"/>
          <w:szCs w:val="28"/>
        </w:rPr>
        <w:t>返回格式</w:t>
      </w:r>
      <w:bookmarkEnd w:id="29"/>
      <w:bookmarkEnd w:id="3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hire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jobtype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jobtype_add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2530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添加岗位分类信息</w:t>
      </w:r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27931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添加岗位分类信息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21002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jobtype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岗位分类名称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5538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5" w:name="_Toc1500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跳转修改岗位分类页面</w:t>
      </w:r>
      <w:bookmarkEnd w:id="3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26525"/>
      <w:r>
        <w:rPr>
          <w:rFonts w:hint="eastAsia"/>
          <w:sz w:val="28"/>
          <w:szCs w:val="28"/>
        </w:rPr>
        <w:t>说明</w:t>
      </w:r>
      <w:bookmarkEnd w:id="3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跳转修改岗位分类页面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7" w:name="_Toc2881"/>
      <w:r>
        <w:rPr>
          <w:rFonts w:hint="eastAsia"/>
          <w:sz w:val="28"/>
          <w:szCs w:val="28"/>
        </w:rPr>
        <w:t>链接、参数</w:t>
      </w:r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jobtype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/jobtype_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update/{id}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岗位分类id（拼接在请求路径后)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25866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hire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jobtype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jobtype_edit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${jobType.id} 岗位分类id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${jobType.name} 岗位分类名称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9" w:name="_Toc3162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修改岗位分类信息</w:t>
      </w:r>
      <w:bookmarkEnd w:id="3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0" w:name="_Toc14020"/>
      <w:r>
        <w:rPr>
          <w:rFonts w:hint="eastAsia"/>
          <w:sz w:val="28"/>
          <w:szCs w:val="28"/>
        </w:rPr>
        <w:t>说明</w:t>
      </w:r>
      <w:bookmarkEnd w:id="4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修改岗位分类信息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1" w:name="_Toc2657"/>
      <w:r>
        <w:rPr>
          <w:rFonts w:hint="eastAsia"/>
          <w:sz w:val="28"/>
          <w:szCs w:val="28"/>
        </w:rPr>
        <w:t>链接、参数</w:t>
      </w:r>
      <w:bookmarkEnd w:id="4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jobtype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岗位分类名称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2" w:name="_Toc15145"/>
      <w:r>
        <w:rPr>
          <w:rFonts w:hint="eastAsia"/>
          <w:sz w:val="28"/>
          <w:szCs w:val="28"/>
        </w:rPr>
        <w:t>返回格式</w:t>
      </w:r>
      <w:bookmarkEnd w:id="4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3" w:name="_Toc1303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上调岗位分类信息排序</w:t>
      </w:r>
      <w:bookmarkEnd w:id="4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4" w:name="_Toc18079"/>
      <w:r>
        <w:rPr>
          <w:rFonts w:hint="eastAsia"/>
          <w:sz w:val="28"/>
          <w:szCs w:val="28"/>
        </w:rPr>
        <w:t>说明</w:t>
      </w:r>
      <w:bookmarkEnd w:id="4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上调岗位分类信息排序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5" w:name="_Toc3855"/>
      <w:r>
        <w:rPr>
          <w:rFonts w:hint="eastAsia"/>
          <w:sz w:val="28"/>
          <w:szCs w:val="28"/>
        </w:rPr>
        <w:t>链接、参数</w:t>
      </w:r>
      <w:bookmarkEnd w:id="4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jobtype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up_sort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岗位分类id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6" w:name="_Toc3493"/>
      <w:r>
        <w:rPr>
          <w:rFonts w:hint="eastAsia"/>
          <w:sz w:val="28"/>
          <w:szCs w:val="28"/>
        </w:rPr>
        <w:t>返回格式</w:t>
      </w:r>
      <w:bookmarkEnd w:id="46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7" w:name="_Toc8740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下调岗位分类信息排序</w:t>
      </w:r>
      <w:bookmarkEnd w:id="4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8" w:name="_Toc11285"/>
      <w:r>
        <w:rPr>
          <w:rFonts w:hint="eastAsia"/>
          <w:sz w:val="28"/>
          <w:szCs w:val="28"/>
        </w:rPr>
        <w:t>说明</w:t>
      </w:r>
      <w:bookmarkEnd w:id="4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下调岗位分类信息排序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9" w:name="_Toc3941"/>
      <w:r>
        <w:rPr>
          <w:rFonts w:hint="eastAsia"/>
          <w:sz w:val="28"/>
          <w:szCs w:val="28"/>
        </w:rPr>
        <w:t>链接、参数</w:t>
      </w:r>
      <w:bookmarkEnd w:id="4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jobtype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down_sort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岗位分类id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0" w:name="_Toc7100"/>
      <w:r>
        <w:rPr>
          <w:rFonts w:hint="eastAsia"/>
          <w:sz w:val="28"/>
          <w:szCs w:val="28"/>
        </w:rPr>
        <w:t>返回格式</w:t>
      </w:r>
      <w:bookmarkEnd w:id="50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1" w:name="_Toc2632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逻辑删除岗位分类信息</w:t>
      </w:r>
      <w:bookmarkEnd w:id="5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2" w:name="_Toc15480"/>
      <w:r>
        <w:rPr>
          <w:rFonts w:hint="eastAsia"/>
          <w:sz w:val="28"/>
          <w:szCs w:val="28"/>
        </w:rPr>
        <w:t>说明</w:t>
      </w:r>
      <w:bookmarkEnd w:id="5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逻辑删除岗位分类信息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3" w:name="_Toc16699"/>
      <w:r>
        <w:rPr>
          <w:rFonts w:hint="eastAsia"/>
          <w:sz w:val="28"/>
          <w:szCs w:val="28"/>
        </w:rPr>
        <w:t>链接、参数</w:t>
      </w:r>
      <w:bookmarkEnd w:id="5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jobtype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delete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岗位分类id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4" w:name="_Toc25210"/>
      <w:r>
        <w:rPr>
          <w:rFonts w:hint="eastAsia"/>
          <w:sz w:val="28"/>
          <w:szCs w:val="28"/>
        </w:rPr>
        <w:t>返回格式</w:t>
      </w:r>
      <w:bookmarkEnd w:id="5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92CD5"/>
    <w:rsid w:val="037B0DDC"/>
    <w:rsid w:val="04726524"/>
    <w:rsid w:val="04B67543"/>
    <w:rsid w:val="053638C9"/>
    <w:rsid w:val="05E81EC5"/>
    <w:rsid w:val="06EB1B28"/>
    <w:rsid w:val="07D12DBA"/>
    <w:rsid w:val="08B43FBA"/>
    <w:rsid w:val="08EC6DD4"/>
    <w:rsid w:val="096F3E9D"/>
    <w:rsid w:val="09F573C7"/>
    <w:rsid w:val="0A674623"/>
    <w:rsid w:val="0AE5652C"/>
    <w:rsid w:val="0BD40D3D"/>
    <w:rsid w:val="0D0B5958"/>
    <w:rsid w:val="0D2C4A5B"/>
    <w:rsid w:val="0DDB5531"/>
    <w:rsid w:val="0F8724FA"/>
    <w:rsid w:val="10AE2125"/>
    <w:rsid w:val="12CE6BE1"/>
    <w:rsid w:val="134B75CE"/>
    <w:rsid w:val="1477582E"/>
    <w:rsid w:val="16CD5C2C"/>
    <w:rsid w:val="17774658"/>
    <w:rsid w:val="18A50D50"/>
    <w:rsid w:val="18B01839"/>
    <w:rsid w:val="18EE61AA"/>
    <w:rsid w:val="19573FE7"/>
    <w:rsid w:val="195A5E10"/>
    <w:rsid w:val="1AFD32AD"/>
    <w:rsid w:val="1B660453"/>
    <w:rsid w:val="1C426A92"/>
    <w:rsid w:val="1CDF16B0"/>
    <w:rsid w:val="1E8E78C8"/>
    <w:rsid w:val="21097F33"/>
    <w:rsid w:val="23035369"/>
    <w:rsid w:val="24025274"/>
    <w:rsid w:val="25893593"/>
    <w:rsid w:val="25920FC5"/>
    <w:rsid w:val="25AB00E9"/>
    <w:rsid w:val="2671098C"/>
    <w:rsid w:val="26B80D77"/>
    <w:rsid w:val="280660FB"/>
    <w:rsid w:val="284344E9"/>
    <w:rsid w:val="28576A51"/>
    <w:rsid w:val="294439EA"/>
    <w:rsid w:val="295A7BB1"/>
    <w:rsid w:val="29E408F6"/>
    <w:rsid w:val="29E971EB"/>
    <w:rsid w:val="2AFE1588"/>
    <w:rsid w:val="2BE83E92"/>
    <w:rsid w:val="2C321A89"/>
    <w:rsid w:val="2C810D55"/>
    <w:rsid w:val="2C83421E"/>
    <w:rsid w:val="30A47175"/>
    <w:rsid w:val="31B3296F"/>
    <w:rsid w:val="32D3712E"/>
    <w:rsid w:val="3308428D"/>
    <w:rsid w:val="347332A1"/>
    <w:rsid w:val="34866CFF"/>
    <w:rsid w:val="34F31011"/>
    <w:rsid w:val="354D79C2"/>
    <w:rsid w:val="37500AAD"/>
    <w:rsid w:val="38ED0713"/>
    <w:rsid w:val="392125E8"/>
    <w:rsid w:val="39CF13E6"/>
    <w:rsid w:val="3ACF7D00"/>
    <w:rsid w:val="3B156203"/>
    <w:rsid w:val="3BF2212C"/>
    <w:rsid w:val="3BFE1B5A"/>
    <w:rsid w:val="3C670D56"/>
    <w:rsid w:val="3CCA768C"/>
    <w:rsid w:val="3EDA26B3"/>
    <w:rsid w:val="3FC2301D"/>
    <w:rsid w:val="40846FB5"/>
    <w:rsid w:val="411C1C8F"/>
    <w:rsid w:val="41C629D6"/>
    <w:rsid w:val="42012348"/>
    <w:rsid w:val="421253D5"/>
    <w:rsid w:val="428E55AE"/>
    <w:rsid w:val="432A4BFF"/>
    <w:rsid w:val="44802B77"/>
    <w:rsid w:val="44F03B18"/>
    <w:rsid w:val="454248FB"/>
    <w:rsid w:val="46255273"/>
    <w:rsid w:val="474F36A2"/>
    <w:rsid w:val="47AF2202"/>
    <w:rsid w:val="47E82FBD"/>
    <w:rsid w:val="49725E51"/>
    <w:rsid w:val="4BF50574"/>
    <w:rsid w:val="4CAA3BAD"/>
    <w:rsid w:val="4CD4690D"/>
    <w:rsid w:val="4D1A6121"/>
    <w:rsid w:val="4D7301F6"/>
    <w:rsid w:val="4EE60844"/>
    <w:rsid w:val="4F2E3B9C"/>
    <w:rsid w:val="501B28A3"/>
    <w:rsid w:val="50B12E9C"/>
    <w:rsid w:val="52307163"/>
    <w:rsid w:val="52447349"/>
    <w:rsid w:val="54E632F3"/>
    <w:rsid w:val="560617F2"/>
    <w:rsid w:val="56F300D1"/>
    <w:rsid w:val="57C25E98"/>
    <w:rsid w:val="5856269E"/>
    <w:rsid w:val="58700D36"/>
    <w:rsid w:val="58C057F4"/>
    <w:rsid w:val="59561AC4"/>
    <w:rsid w:val="595C0E9C"/>
    <w:rsid w:val="59C900B3"/>
    <w:rsid w:val="5A0B08BC"/>
    <w:rsid w:val="5A4830C9"/>
    <w:rsid w:val="5B0B39F2"/>
    <w:rsid w:val="5B161C36"/>
    <w:rsid w:val="5C7052B0"/>
    <w:rsid w:val="5C706876"/>
    <w:rsid w:val="5D325B6F"/>
    <w:rsid w:val="5DB26A1D"/>
    <w:rsid w:val="5DE15A44"/>
    <w:rsid w:val="61FF7745"/>
    <w:rsid w:val="62210079"/>
    <w:rsid w:val="624E37E0"/>
    <w:rsid w:val="62F77961"/>
    <w:rsid w:val="64134BB7"/>
    <w:rsid w:val="643839B8"/>
    <w:rsid w:val="643C6EF0"/>
    <w:rsid w:val="64A16594"/>
    <w:rsid w:val="64E6141A"/>
    <w:rsid w:val="653033E8"/>
    <w:rsid w:val="65B36385"/>
    <w:rsid w:val="6668387E"/>
    <w:rsid w:val="67F47946"/>
    <w:rsid w:val="681D2658"/>
    <w:rsid w:val="684D2399"/>
    <w:rsid w:val="68A36139"/>
    <w:rsid w:val="68F477D0"/>
    <w:rsid w:val="692E0BEC"/>
    <w:rsid w:val="69DC571C"/>
    <w:rsid w:val="69FF0E6F"/>
    <w:rsid w:val="6A736844"/>
    <w:rsid w:val="6B645F02"/>
    <w:rsid w:val="6E0717C6"/>
    <w:rsid w:val="6E1366A5"/>
    <w:rsid w:val="6F910FFA"/>
    <w:rsid w:val="6FAA1BD0"/>
    <w:rsid w:val="701F1D38"/>
    <w:rsid w:val="70843AD1"/>
    <w:rsid w:val="71051353"/>
    <w:rsid w:val="722E5095"/>
    <w:rsid w:val="73631E2A"/>
    <w:rsid w:val="74313AFD"/>
    <w:rsid w:val="74905146"/>
    <w:rsid w:val="74D753C7"/>
    <w:rsid w:val="76CD02F2"/>
    <w:rsid w:val="7A3F74FB"/>
    <w:rsid w:val="7C597505"/>
    <w:rsid w:val="7D2B6E67"/>
    <w:rsid w:val="7D8E7328"/>
    <w:rsid w:val="7D9837F3"/>
    <w:rsid w:val="7DA3504D"/>
    <w:rsid w:val="7E1D13D0"/>
    <w:rsid w:val="7E6F4F92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2019-09-02T07:12:39Z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