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13C7" w14:textId="77777777" w:rsidR="006B039B" w:rsidRPr="001B083A" w:rsidRDefault="00000000" w:rsidP="00687669">
      <w:pPr>
        <w:spacing w:line="360" w:lineRule="auto"/>
        <w:jc w:val="center"/>
        <w:rPr>
          <w:rFonts w:ascii="Arial" w:hAnsi="Arial" w:cs="Arial"/>
        </w:rPr>
      </w:pPr>
      <w:r w:rsidRPr="001B083A">
        <w:rPr>
          <w:rFonts w:ascii="Arial" w:hAnsi="Arial" w:cs="Arial"/>
          <w:b/>
          <w:bCs/>
          <w:sz w:val="28"/>
          <w:szCs w:val="28"/>
        </w:rPr>
        <w:t>Vegetation community composition and species–environment relationships along an elevational gradient in south-central Bhutan</w:t>
      </w:r>
    </w:p>
    <w:p w14:paraId="587A827F" w14:textId="77777777" w:rsidR="006B039B" w:rsidRPr="001B083A" w:rsidRDefault="00000000" w:rsidP="0072496B">
      <w:pPr>
        <w:pStyle w:val="Heading1"/>
      </w:pPr>
      <w:r w:rsidRPr="001B083A">
        <w:t>Abstract</w:t>
      </w:r>
    </w:p>
    <w:p w14:paraId="6EED2DBB" w14:textId="77777777" w:rsidR="006B039B" w:rsidRPr="001B083A" w:rsidRDefault="00000000" w:rsidP="00687669">
      <w:pPr>
        <w:spacing w:line="360" w:lineRule="auto"/>
        <w:jc w:val="both"/>
        <w:rPr>
          <w:rFonts w:ascii="Arial" w:hAnsi="Arial" w:cs="Arial"/>
        </w:rPr>
      </w:pPr>
      <w:r w:rsidRPr="001B083A">
        <w:rPr>
          <w:rFonts w:ascii="Arial" w:hAnsi="Arial" w:cs="Arial"/>
          <w:b/>
          <w:bCs/>
        </w:rPr>
        <w:t xml:space="preserve">Questions: </w:t>
      </w:r>
      <w:r w:rsidRPr="001B083A">
        <w:rPr>
          <w:rFonts w:ascii="Arial" w:hAnsi="Arial" w:cs="Arial"/>
        </w:rPr>
        <w:t>Understanding how plant communities vary along elevation is essential for predicting biodiversity responses to environmental change. We asked how community composition, diversity, and species–environment relationships differ among vegetation strata along an elevational gradient, and which environmental variables best explain regeneration patterns.</w:t>
      </w:r>
    </w:p>
    <w:p w14:paraId="1C0058D8" w14:textId="77777777" w:rsidR="006B039B" w:rsidRPr="001B083A" w:rsidRDefault="00000000" w:rsidP="00687669">
      <w:pPr>
        <w:spacing w:after="200" w:line="360" w:lineRule="auto"/>
        <w:jc w:val="both"/>
        <w:rPr>
          <w:rFonts w:ascii="Arial" w:hAnsi="Arial" w:cs="Arial"/>
        </w:rPr>
      </w:pPr>
      <w:r w:rsidRPr="001B083A">
        <w:rPr>
          <w:rFonts w:ascii="Arial" w:hAnsi="Arial" w:cs="Arial"/>
          <w:b/>
          <w:bCs/>
        </w:rPr>
        <w:t xml:space="preserve">Location: </w:t>
      </w:r>
      <w:r w:rsidRPr="001B083A">
        <w:rPr>
          <w:rFonts w:ascii="Arial" w:hAnsi="Arial" w:cs="Arial"/>
        </w:rPr>
        <w:t xml:space="preserve">Sarpang District, south-central Bhutan; unmanaged subtropical to cool broadleaved forests spanning approximately 260 to 1 964 m </w:t>
      </w:r>
      <w:proofErr w:type="spellStart"/>
      <w:r w:rsidRPr="001B083A">
        <w:rPr>
          <w:rFonts w:ascii="Arial" w:hAnsi="Arial" w:cs="Arial"/>
        </w:rPr>
        <w:t>a.s.l</w:t>
      </w:r>
      <w:proofErr w:type="spellEnd"/>
      <w:r w:rsidRPr="001B083A">
        <w:rPr>
          <w:rFonts w:ascii="Arial" w:hAnsi="Arial" w:cs="Arial"/>
        </w:rPr>
        <w:t>.</w:t>
      </w:r>
    </w:p>
    <w:p w14:paraId="545D1E53" w14:textId="7EFC5288" w:rsidR="006B039B" w:rsidRPr="001B083A" w:rsidRDefault="00000000" w:rsidP="00687669">
      <w:pPr>
        <w:spacing w:after="200" w:line="360" w:lineRule="auto"/>
        <w:jc w:val="both"/>
        <w:rPr>
          <w:rFonts w:ascii="Arial" w:hAnsi="Arial" w:cs="Arial"/>
        </w:rPr>
      </w:pPr>
      <w:r w:rsidRPr="001B083A">
        <w:rPr>
          <w:rFonts w:ascii="Arial" w:hAnsi="Arial" w:cs="Arial"/>
          <w:b/>
          <w:bCs/>
        </w:rPr>
        <w:t xml:space="preserve">Methods: </w:t>
      </w:r>
      <w:r w:rsidRPr="001B083A">
        <w:rPr>
          <w:rFonts w:ascii="Arial" w:hAnsi="Arial" w:cs="Arial"/>
        </w:rPr>
        <w:t xml:space="preserve">We </w:t>
      </w:r>
      <w:proofErr w:type="spellStart"/>
      <w:r w:rsidRPr="001B083A">
        <w:rPr>
          <w:rFonts w:ascii="Arial" w:hAnsi="Arial" w:cs="Arial"/>
        </w:rPr>
        <w:t>analysed</w:t>
      </w:r>
      <w:proofErr w:type="spellEnd"/>
      <w:r w:rsidRPr="001B083A">
        <w:rPr>
          <w:rFonts w:ascii="Arial" w:hAnsi="Arial" w:cs="Arial"/>
        </w:rPr>
        <w:t xml:space="preserve"> vegetation data from four strata (trees, shrubs, herbs, regeneration) across 22</w:t>
      </w:r>
      <w:r w:rsidR="00A503EE">
        <w:rPr>
          <w:rFonts w:ascii="Arial" w:hAnsi="Arial" w:cs="Arial"/>
        </w:rPr>
        <w:t>0</w:t>
      </w:r>
      <w:r w:rsidRPr="001B083A">
        <w:rPr>
          <w:rFonts w:ascii="Arial" w:hAnsi="Arial" w:cs="Arial"/>
        </w:rPr>
        <w:t xml:space="preserve"> plots. We constructed community matrices, quantified environmental variables, applied non-metric multidimensional scaling and canonical correspondence analysis, and tested group differences with permutational multivariate analysis of variance. Indicator species analysis and machine-learning models (random forest and gradient boosting) assessed regeneration patterns.</w:t>
      </w:r>
    </w:p>
    <w:p w14:paraId="1361376A" w14:textId="02758BF2" w:rsidR="006B039B" w:rsidRPr="001B083A" w:rsidRDefault="00000000" w:rsidP="00687669">
      <w:pPr>
        <w:spacing w:after="200" w:line="360" w:lineRule="auto"/>
        <w:jc w:val="both"/>
        <w:rPr>
          <w:rFonts w:ascii="Arial" w:hAnsi="Arial" w:cs="Arial"/>
        </w:rPr>
      </w:pPr>
      <w:r w:rsidRPr="001B083A">
        <w:rPr>
          <w:rFonts w:ascii="Arial" w:hAnsi="Arial" w:cs="Arial"/>
          <w:b/>
          <w:bCs/>
        </w:rPr>
        <w:t xml:space="preserve">Results: </w:t>
      </w:r>
      <w:r w:rsidRPr="001B083A">
        <w:rPr>
          <w:rFonts w:ascii="Arial" w:hAnsi="Arial" w:cs="Arial"/>
        </w:rPr>
        <w:t>Community composition differed among forest types in all strata (</w:t>
      </w:r>
      <w:proofErr w:type="spellStart"/>
      <w:r w:rsidRPr="001B083A">
        <w:rPr>
          <w:rFonts w:ascii="Arial" w:hAnsi="Arial" w:cs="Arial"/>
        </w:rPr>
        <w:t>R²</w:t>
      </w:r>
      <w:proofErr w:type="spellEnd"/>
      <w:r w:rsidRPr="001B083A">
        <w:rPr>
          <w:rFonts w:ascii="Arial" w:hAnsi="Arial" w:cs="Arial"/>
        </w:rPr>
        <w:t xml:space="preserve"> 0.017 to 0.050; p = 0.001). Environmental predictors explained 3.2 to 3.8 percent of variation in trees and shrubs and were not significant for herbs and regeneration. Trees had the highest Shannon diversity (1.391 ± 0.595), whereas herbs had the lowest (0.325 ± 0.451). Random forest models outperformed gradient boosting for regeneration richness (root mean square error 1.165 ± 0.182; coefficient of determination 0.142 ± 0.040).</w:t>
      </w:r>
    </w:p>
    <w:p w14:paraId="374EB47B" w14:textId="3878F1F2" w:rsidR="006B039B" w:rsidRPr="001B083A" w:rsidRDefault="00000000" w:rsidP="00687669">
      <w:pPr>
        <w:spacing w:after="200" w:line="360" w:lineRule="auto"/>
        <w:jc w:val="both"/>
        <w:rPr>
          <w:rFonts w:ascii="Arial" w:hAnsi="Arial" w:cs="Arial"/>
        </w:rPr>
      </w:pPr>
      <w:r w:rsidRPr="001B083A">
        <w:rPr>
          <w:rFonts w:ascii="Arial" w:hAnsi="Arial" w:cs="Arial"/>
          <w:b/>
          <w:bCs/>
        </w:rPr>
        <w:t xml:space="preserve">Conclusions: </w:t>
      </w:r>
      <w:r w:rsidRPr="001B083A">
        <w:rPr>
          <w:rFonts w:ascii="Arial" w:hAnsi="Arial" w:cs="Arial"/>
        </w:rPr>
        <w:t>Plant communities show consistent elevational structuring across strata, with distinct environmental signals by layer. These results highlight the need to consider vertical heterogeneity when assessing mountain forest biodiversity and regeneration.</w:t>
      </w:r>
    </w:p>
    <w:p w14:paraId="26E0439A" w14:textId="7489E14D" w:rsidR="00254CAA" w:rsidRPr="001B083A" w:rsidRDefault="00000000" w:rsidP="00687669">
      <w:pPr>
        <w:spacing w:after="200" w:line="360" w:lineRule="auto"/>
        <w:jc w:val="both"/>
        <w:rPr>
          <w:rFonts w:ascii="Arial" w:hAnsi="Arial" w:cs="Arial"/>
        </w:rPr>
      </w:pPr>
      <w:r w:rsidRPr="001B083A">
        <w:rPr>
          <w:rFonts w:ascii="Arial" w:hAnsi="Arial" w:cs="Arial"/>
          <w:b/>
          <w:bCs/>
        </w:rPr>
        <w:t xml:space="preserve">Keywords: </w:t>
      </w:r>
      <w:r w:rsidRPr="001B083A">
        <w:rPr>
          <w:rFonts w:ascii="Arial" w:hAnsi="Arial" w:cs="Arial"/>
        </w:rPr>
        <w:t>elevational gradient, plant community, tropical mountain forest, species–environment relationships, community assembly, diversity, regeneration, ordination, canonical correspondence analysis, indicator specie</w:t>
      </w:r>
      <w:r w:rsidR="001B083A">
        <w:rPr>
          <w:rFonts w:ascii="Arial" w:hAnsi="Arial" w:cs="Arial"/>
        </w:rPr>
        <w:t xml:space="preserve">s. </w:t>
      </w:r>
    </w:p>
    <w:p w14:paraId="21C3A715" w14:textId="4C738234" w:rsidR="0096608A" w:rsidRPr="0096608A" w:rsidRDefault="00000000" w:rsidP="0072496B">
      <w:pPr>
        <w:pStyle w:val="Heading1"/>
      </w:pPr>
      <w:r w:rsidRPr="001B083A">
        <w:lastRenderedPageBreak/>
        <w:t>Introduction</w:t>
      </w:r>
    </w:p>
    <w:p w14:paraId="51C0D463" w14:textId="77777777" w:rsidR="006D0599" w:rsidRPr="006D0599" w:rsidRDefault="006D0599" w:rsidP="006D0599">
      <w:pPr>
        <w:spacing w:line="360" w:lineRule="auto"/>
        <w:jc w:val="both"/>
        <w:rPr>
          <w:rFonts w:ascii="Arial" w:hAnsi="Arial" w:cs="Arial"/>
        </w:rPr>
      </w:pPr>
      <w:r w:rsidRPr="006D0599">
        <w:rPr>
          <w:rFonts w:ascii="Arial" w:hAnsi="Arial" w:cs="Arial"/>
        </w:rPr>
        <w:t>Elevational gradients constitute powerful natural laboratories for understanding how climate, topography, and habitat heterogeneity interact to structure plant communities. Because temperature, moisture availability, and growing-season length vary predictably with altitude, mountain systems have long served as test beds for ecological theory addressing species richness, environmental filtering, and community turnover (</w:t>
      </w:r>
      <w:proofErr w:type="spellStart"/>
      <w:r w:rsidRPr="006D0599">
        <w:rPr>
          <w:rFonts w:ascii="Arial" w:hAnsi="Arial" w:cs="Arial"/>
        </w:rPr>
        <w:t>Lomolino</w:t>
      </w:r>
      <w:proofErr w:type="spellEnd"/>
      <w:r w:rsidRPr="006D0599">
        <w:rPr>
          <w:rFonts w:ascii="Arial" w:hAnsi="Arial" w:cs="Arial"/>
        </w:rPr>
        <w:t xml:space="preserve"> 2001; Rahbek 2005). Across regions, richness–elevation relationships are frequently unimodal but vary with spatial extent, taxonomic scope, and climatic context, indicating that no single mechanism universally governs elevational diversity patterns (</w:t>
      </w:r>
      <w:proofErr w:type="spellStart"/>
      <w:r w:rsidRPr="006D0599">
        <w:rPr>
          <w:rFonts w:ascii="Arial" w:hAnsi="Arial" w:cs="Arial"/>
        </w:rPr>
        <w:t>Grytnes</w:t>
      </w:r>
      <w:proofErr w:type="spellEnd"/>
      <w:r w:rsidRPr="006D0599">
        <w:rPr>
          <w:rFonts w:ascii="Arial" w:hAnsi="Arial" w:cs="Arial"/>
        </w:rPr>
        <w:t xml:space="preserve"> 2003; McCain 2009). In forest ecosystems, steep abiotic gradients combined with fine-scale variation in soils, canopy structure, and disturbance regimes generate pronounced compositional turnover and vertically stratified responses among trees, shrubs, and herb layers (Gilliam 2007; Sundqvist et al. 2013). Mountain floras therefore often exhibit high beta diversity over short distances, reflecting both dispersal limitation and niche differentiation along climatic and edaphic gradients (Qian et al. 2005). Recent research has increasingly focused on disentangling the relative roles of environmental filtering, functional traits, and biotic interactions in shaping elevational community organization (Siefert et al. 2013; Kraft et al. 2015). Nevertheless, many studies continue to focus primarily on canopy trees, despite mounting evidence that </w:t>
      </w:r>
      <w:proofErr w:type="spellStart"/>
      <w:r w:rsidRPr="006D0599">
        <w:rPr>
          <w:rFonts w:ascii="Arial" w:hAnsi="Arial" w:cs="Arial"/>
        </w:rPr>
        <w:t>understorey</w:t>
      </w:r>
      <w:proofErr w:type="spellEnd"/>
      <w:r w:rsidRPr="006D0599">
        <w:rPr>
          <w:rFonts w:ascii="Arial" w:hAnsi="Arial" w:cs="Arial"/>
        </w:rPr>
        <w:t xml:space="preserve"> strata respond more sensitively to microclimatic and edaphic variation and may follow distinct compositional trajectories along the same gradient (Gilliam 2007; Lenoir et al. 2008). Regeneration layers are especially informative in this context because they integrate recent recruitment processes and may foreshadow future changes in forest composition under ongoing climatic warming (Clark et al. 2014).</w:t>
      </w:r>
    </w:p>
    <w:p w14:paraId="6DA0B8BF" w14:textId="77777777" w:rsidR="006D0599" w:rsidRPr="006D0599" w:rsidRDefault="006D0599" w:rsidP="006D0599">
      <w:pPr>
        <w:spacing w:line="360" w:lineRule="auto"/>
        <w:jc w:val="both"/>
        <w:rPr>
          <w:rFonts w:ascii="Arial" w:hAnsi="Arial" w:cs="Arial"/>
        </w:rPr>
      </w:pPr>
      <w:r w:rsidRPr="006D0599">
        <w:rPr>
          <w:rFonts w:ascii="Arial" w:hAnsi="Arial" w:cs="Arial"/>
        </w:rPr>
        <w:t xml:space="preserve">The eastern Himalaya represents a global </w:t>
      </w:r>
      <w:proofErr w:type="spellStart"/>
      <w:r w:rsidRPr="006D0599">
        <w:rPr>
          <w:rFonts w:ascii="Arial" w:hAnsi="Arial" w:cs="Arial"/>
        </w:rPr>
        <w:t>centre</w:t>
      </w:r>
      <w:proofErr w:type="spellEnd"/>
      <w:r w:rsidRPr="006D0599">
        <w:rPr>
          <w:rFonts w:ascii="Arial" w:hAnsi="Arial" w:cs="Arial"/>
        </w:rPr>
        <w:t xml:space="preserve"> of biodiversity characterized by extreme elevational relief, complex terrain, and monsoonal climates that generate sharp forest transitions and exceptionally high species turnover (Myers et al. 2000; </w:t>
      </w:r>
      <w:proofErr w:type="spellStart"/>
      <w:r w:rsidRPr="006D0599">
        <w:rPr>
          <w:rFonts w:ascii="Arial" w:hAnsi="Arial" w:cs="Arial"/>
        </w:rPr>
        <w:t>Grytnes</w:t>
      </w:r>
      <w:proofErr w:type="spellEnd"/>
      <w:r w:rsidRPr="006D0599">
        <w:rPr>
          <w:rFonts w:ascii="Arial" w:hAnsi="Arial" w:cs="Arial"/>
        </w:rPr>
        <w:t xml:space="preserve"> &amp; </w:t>
      </w:r>
      <w:proofErr w:type="spellStart"/>
      <w:r w:rsidRPr="006D0599">
        <w:rPr>
          <w:rFonts w:ascii="Arial" w:hAnsi="Arial" w:cs="Arial"/>
        </w:rPr>
        <w:t>Vetaas</w:t>
      </w:r>
      <w:proofErr w:type="spellEnd"/>
      <w:r w:rsidRPr="006D0599">
        <w:rPr>
          <w:rFonts w:ascii="Arial" w:hAnsi="Arial" w:cs="Arial"/>
        </w:rPr>
        <w:t xml:space="preserve"> 2002). Within this region, numerous studies have documented steep elevational zonation and marked diversity patterns, while broad-scale syntheses emphasize the region’s sharp biodiversity gradients and habitat heterogeneity (Myers et al. 2000; </w:t>
      </w:r>
      <w:proofErr w:type="spellStart"/>
      <w:r w:rsidRPr="006D0599">
        <w:rPr>
          <w:rFonts w:ascii="Arial" w:hAnsi="Arial" w:cs="Arial"/>
        </w:rPr>
        <w:t>Grytnes</w:t>
      </w:r>
      <w:proofErr w:type="spellEnd"/>
      <w:r w:rsidRPr="006D0599">
        <w:rPr>
          <w:rFonts w:ascii="Arial" w:hAnsi="Arial" w:cs="Arial"/>
        </w:rPr>
        <w:t xml:space="preserve"> &amp; </w:t>
      </w:r>
      <w:proofErr w:type="spellStart"/>
      <w:r w:rsidRPr="006D0599">
        <w:rPr>
          <w:rFonts w:ascii="Arial" w:hAnsi="Arial" w:cs="Arial"/>
        </w:rPr>
        <w:t>Vetaas</w:t>
      </w:r>
      <w:proofErr w:type="spellEnd"/>
      <w:r w:rsidRPr="006D0599">
        <w:rPr>
          <w:rFonts w:ascii="Arial" w:hAnsi="Arial" w:cs="Arial"/>
        </w:rPr>
        <w:t xml:space="preserve"> 2002). Despite this growing body of work, community-level investigations integrating </w:t>
      </w:r>
      <w:r w:rsidRPr="006D0599">
        <w:rPr>
          <w:rFonts w:ascii="Arial" w:hAnsi="Arial" w:cs="Arial"/>
        </w:rPr>
        <w:lastRenderedPageBreak/>
        <w:t xml:space="preserve">multiple vegetation strata across Himalayan elevational gradients remain uncommon. Few studies explicitly compare species–environment relationships among canopy and </w:t>
      </w:r>
      <w:proofErr w:type="spellStart"/>
      <w:r w:rsidRPr="006D0599">
        <w:rPr>
          <w:rFonts w:ascii="Arial" w:hAnsi="Arial" w:cs="Arial"/>
        </w:rPr>
        <w:t>understorey</w:t>
      </w:r>
      <w:proofErr w:type="spellEnd"/>
      <w:r w:rsidRPr="006D0599">
        <w:rPr>
          <w:rFonts w:ascii="Arial" w:hAnsi="Arial" w:cs="Arial"/>
        </w:rPr>
        <w:t xml:space="preserve"> layers, and regeneration dynamics are seldom </w:t>
      </w:r>
      <w:proofErr w:type="spellStart"/>
      <w:r w:rsidRPr="006D0599">
        <w:rPr>
          <w:rFonts w:ascii="Arial" w:hAnsi="Arial" w:cs="Arial"/>
        </w:rPr>
        <w:t>analysed</w:t>
      </w:r>
      <w:proofErr w:type="spellEnd"/>
      <w:r w:rsidRPr="006D0599">
        <w:rPr>
          <w:rFonts w:ascii="Arial" w:hAnsi="Arial" w:cs="Arial"/>
        </w:rPr>
        <w:t xml:space="preserve"> in parallel with diversity and compositional patterns, despite their central importance for forest resilience and long-term reorganization (Sundqvist et al. 2013; Clark et al. 2014).</w:t>
      </w:r>
    </w:p>
    <w:p w14:paraId="49DC6EF9" w14:textId="3AE03190" w:rsidR="006D0599" w:rsidRPr="006D0599" w:rsidRDefault="006D0599" w:rsidP="006D0599">
      <w:pPr>
        <w:spacing w:line="360" w:lineRule="auto"/>
        <w:jc w:val="both"/>
        <w:rPr>
          <w:rFonts w:ascii="Arial" w:hAnsi="Arial" w:cs="Arial"/>
        </w:rPr>
      </w:pPr>
      <w:r w:rsidRPr="006D0599">
        <w:rPr>
          <w:rFonts w:ascii="Arial" w:hAnsi="Arial" w:cs="Arial"/>
        </w:rPr>
        <w:t xml:space="preserve">Here, we present a comprehensive assessment of plant community composition, diversity, and species–environment relationships along an elevational gradient in south-central Bhutan. We test whether forest types differ consistently in composition across four strata—trees, shrubs, herbs, and regeneration—identify the principal environmental drivers of community </w:t>
      </w:r>
      <w:r w:rsidR="00EE174C" w:rsidRPr="006D0599">
        <w:rPr>
          <w:rFonts w:ascii="Arial" w:hAnsi="Arial" w:cs="Arial"/>
        </w:rPr>
        <w:t>structure and</w:t>
      </w:r>
      <w:r w:rsidRPr="006D0599">
        <w:rPr>
          <w:rFonts w:ascii="Arial" w:hAnsi="Arial" w:cs="Arial"/>
        </w:rPr>
        <w:t xml:space="preserve"> quantify elevational trends in alpha and beta diversity together with indicator species. In addition, we model regeneration patterns using machine-learning approaches (random forest and gradient boosting) to determine which environmental variables are most strongly associated with recruitment success. By integrating multiple vegetation strata within a unified analytical framework, this study offers a novel, multi-layer perspective on elevational community organization and regeneration dynamics in subtropical to cool broadleaved forests of Bhutan. This approach enables evaluation of how microhabitat versus macroclimatic factors govern different vertical layers, providing empirical evidence directly relevant to both ecological theory and Himalayan Forest conservation.</w:t>
      </w:r>
    </w:p>
    <w:p w14:paraId="5398363A" w14:textId="5D33F14A" w:rsidR="009B66AB" w:rsidRPr="009B66AB" w:rsidRDefault="009B66AB" w:rsidP="009B66AB">
      <w:pPr>
        <w:spacing w:line="360" w:lineRule="auto"/>
        <w:jc w:val="both"/>
        <w:rPr>
          <w:rFonts w:ascii="Arial" w:hAnsi="Arial" w:cs="Arial"/>
          <w:b/>
          <w:bCs/>
        </w:rPr>
      </w:pPr>
    </w:p>
    <w:p w14:paraId="6A298B0A" w14:textId="73EA4144" w:rsidR="006B039B" w:rsidRPr="001B083A" w:rsidRDefault="00000000" w:rsidP="009B66AB">
      <w:pPr>
        <w:pStyle w:val="Heading1"/>
      </w:pPr>
      <w:r w:rsidRPr="001B083A">
        <w:t>Methods</w:t>
      </w:r>
    </w:p>
    <w:p w14:paraId="56C7F6F7" w14:textId="77777777" w:rsidR="006B039B" w:rsidRPr="001B083A" w:rsidRDefault="00000000" w:rsidP="005F01A3">
      <w:pPr>
        <w:pStyle w:val="Heading2"/>
      </w:pPr>
      <w:r w:rsidRPr="001B083A">
        <w:t>Study area</w:t>
      </w:r>
    </w:p>
    <w:p w14:paraId="3752E859" w14:textId="7BCF4100" w:rsidR="00513AD4" w:rsidRPr="00513AD4" w:rsidRDefault="00513AD4" w:rsidP="00513AD4">
      <w:pPr>
        <w:spacing w:line="360" w:lineRule="auto"/>
        <w:jc w:val="both"/>
        <w:rPr>
          <w:rFonts w:ascii="Arial" w:hAnsi="Arial" w:cs="Arial"/>
        </w:rPr>
      </w:pPr>
      <w:r w:rsidRPr="00513AD4">
        <w:rPr>
          <w:rFonts w:ascii="Arial" w:hAnsi="Arial" w:cs="Arial"/>
        </w:rPr>
        <w:t xml:space="preserve">The study was conducted in unmanaged forests of Sarpang District in south-central Bhutan under the jurisdiction of </w:t>
      </w:r>
      <w:r w:rsidR="00EE174C">
        <w:rPr>
          <w:rFonts w:ascii="Arial" w:hAnsi="Arial" w:cs="Arial"/>
        </w:rPr>
        <w:t xml:space="preserve">Divisional Forest </w:t>
      </w:r>
      <w:r w:rsidR="005337F1">
        <w:rPr>
          <w:rFonts w:ascii="Arial" w:hAnsi="Arial" w:cs="Arial"/>
        </w:rPr>
        <w:t xml:space="preserve">Office, </w:t>
      </w:r>
      <w:r w:rsidR="005337F1" w:rsidRPr="00513AD4">
        <w:rPr>
          <w:rFonts w:ascii="Arial" w:hAnsi="Arial" w:cs="Arial"/>
        </w:rPr>
        <w:t>Sarpang</w:t>
      </w:r>
      <w:r w:rsidRPr="00513AD4">
        <w:rPr>
          <w:rFonts w:ascii="Arial" w:hAnsi="Arial" w:cs="Arial"/>
        </w:rPr>
        <w:t xml:space="preserve">. The region spans a pronounced elevational gradient from approximately 153 to 3 500 m </w:t>
      </w:r>
      <w:proofErr w:type="spellStart"/>
      <w:r w:rsidRPr="00513AD4">
        <w:rPr>
          <w:rFonts w:ascii="Arial" w:hAnsi="Arial" w:cs="Arial"/>
        </w:rPr>
        <w:t>a.s.l</w:t>
      </w:r>
      <w:proofErr w:type="spellEnd"/>
      <w:r w:rsidRPr="00513AD4">
        <w:rPr>
          <w:rFonts w:ascii="Arial" w:hAnsi="Arial" w:cs="Arial"/>
        </w:rPr>
        <w:t>., encompassing subtropical broadleaved forests at lower elevations (100–500 m), warm broadleaved forests at mid-elevations (500–1 500 m), and cool broadleaved forests between 1 500 and 3 000 m. Such steep altitudinal transitions typify Himalayan landscapes and generate strong climatic and edaphic gradients over short distances</w:t>
      </w:r>
      <w:r w:rsidR="0025361E" w:rsidRPr="0025361E">
        <w:rPr>
          <w:rFonts w:ascii="Arial" w:hAnsi="Arial" w:cs="Arial"/>
        </w:rPr>
        <w:t xml:space="preserve"> (</w:t>
      </w:r>
      <w:proofErr w:type="spellStart"/>
      <w:r w:rsidR="0025361E" w:rsidRPr="0025361E">
        <w:rPr>
          <w:rFonts w:ascii="Arial" w:hAnsi="Arial" w:cs="Arial"/>
        </w:rPr>
        <w:t>Grytnes</w:t>
      </w:r>
      <w:proofErr w:type="spellEnd"/>
      <w:r w:rsidR="0025361E" w:rsidRPr="0025361E">
        <w:rPr>
          <w:rFonts w:ascii="Arial" w:hAnsi="Arial" w:cs="Arial"/>
        </w:rPr>
        <w:t xml:space="preserve"> &amp; </w:t>
      </w:r>
      <w:proofErr w:type="spellStart"/>
      <w:r w:rsidR="0025361E" w:rsidRPr="0025361E">
        <w:rPr>
          <w:rFonts w:ascii="Arial" w:hAnsi="Arial" w:cs="Arial"/>
        </w:rPr>
        <w:t>Vetaas</w:t>
      </w:r>
      <w:proofErr w:type="spellEnd"/>
      <w:r w:rsidR="0025361E" w:rsidRPr="0025361E">
        <w:rPr>
          <w:rFonts w:ascii="Arial" w:hAnsi="Arial" w:cs="Arial"/>
        </w:rPr>
        <w:t xml:space="preserve"> 2002; Körner 2007).</w:t>
      </w:r>
    </w:p>
    <w:p w14:paraId="113FC261" w14:textId="376C319D" w:rsidR="00513AD4" w:rsidRPr="00513AD4" w:rsidRDefault="00513AD4" w:rsidP="005F01A3">
      <w:pPr>
        <w:spacing w:line="360" w:lineRule="auto"/>
        <w:jc w:val="both"/>
        <w:rPr>
          <w:rFonts w:ascii="Arial" w:hAnsi="Arial" w:cs="Arial"/>
        </w:rPr>
      </w:pPr>
      <w:r w:rsidRPr="00513AD4">
        <w:rPr>
          <w:rFonts w:ascii="Arial" w:hAnsi="Arial" w:cs="Arial"/>
        </w:rPr>
        <w:lastRenderedPageBreak/>
        <w:t xml:space="preserve">Annual precipitation is high and strongly seasonal, reflecting monsoon circulation intensified by orographic uplift, a defining feature of the eastern Himalayan foothills </w:t>
      </w:r>
      <w:r w:rsidR="00F32C5D">
        <w:rPr>
          <w:rFonts w:ascii="Arial" w:hAnsi="Arial" w:cs="Arial"/>
        </w:rPr>
        <w:t>(</w:t>
      </w:r>
      <w:proofErr w:type="spellStart"/>
      <w:r w:rsidR="00F32C5D">
        <w:rPr>
          <w:rFonts w:ascii="Arial" w:hAnsi="Arial" w:cs="Arial"/>
        </w:rPr>
        <w:t>Bookhagen</w:t>
      </w:r>
      <w:proofErr w:type="spellEnd"/>
      <w:r w:rsidR="00F32C5D">
        <w:rPr>
          <w:rFonts w:ascii="Arial" w:hAnsi="Arial" w:cs="Arial"/>
        </w:rPr>
        <w:t xml:space="preserve"> &amp; Burbank 2010)</w:t>
      </w:r>
      <w:r w:rsidRPr="00513AD4">
        <w:rPr>
          <w:rFonts w:ascii="Arial" w:hAnsi="Arial" w:cs="Arial"/>
        </w:rPr>
        <w:t>. Rugged terrain and variable slope exposure create pronounced microclimatic heterogeneity, which is expected to contribute to high beta diversity and fine-scale community turnover along the gradient (</w:t>
      </w:r>
      <w:proofErr w:type="spellStart"/>
      <w:r w:rsidR="00EA126C">
        <w:rPr>
          <w:rFonts w:ascii="Arial" w:hAnsi="Arial" w:cs="Arial"/>
        </w:rPr>
        <w:t>Grytnes</w:t>
      </w:r>
      <w:proofErr w:type="spellEnd"/>
      <w:r w:rsidR="00EA126C">
        <w:rPr>
          <w:rFonts w:ascii="Arial" w:hAnsi="Arial" w:cs="Arial"/>
        </w:rPr>
        <w:t xml:space="preserve"> &amp; </w:t>
      </w:r>
      <w:proofErr w:type="spellStart"/>
      <w:r w:rsidR="00EA126C">
        <w:rPr>
          <w:rFonts w:ascii="Arial" w:hAnsi="Arial" w:cs="Arial"/>
        </w:rPr>
        <w:t>Vetaas</w:t>
      </w:r>
      <w:proofErr w:type="spellEnd"/>
      <w:r w:rsidR="00EA126C">
        <w:rPr>
          <w:rFonts w:ascii="Arial" w:hAnsi="Arial" w:cs="Arial"/>
        </w:rPr>
        <w:t xml:space="preserve"> 2002)</w:t>
      </w:r>
      <w:r w:rsidRPr="00513AD4">
        <w:rPr>
          <w:rFonts w:ascii="Arial" w:hAnsi="Arial" w:cs="Arial"/>
        </w:rPr>
        <w:t>. The landscape also forms part of a strategic ecological linkage among Bhutan’s protected areas, although the sampled forests themselves lie largely outside formal management regimes.</w:t>
      </w:r>
    </w:p>
    <w:p w14:paraId="5610BD16" w14:textId="77777777" w:rsidR="00513AD4" w:rsidRPr="00513AD4" w:rsidRDefault="00513AD4" w:rsidP="005F01A3">
      <w:pPr>
        <w:pStyle w:val="Heading2"/>
      </w:pPr>
      <w:r w:rsidRPr="00513AD4">
        <w:t>Sampling design</w:t>
      </w:r>
    </w:p>
    <w:p w14:paraId="5B32C829" w14:textId="461FC3E3" w:rsidR="00513AD4" w:rsidRPr="00513AD4" w:rsidRDefault="00513AD4" w:rsidP="005F01A3">
      <w:pPr>
        <w:spacing w:line="360" w:lineRule="auto"/>
        <w:jc w:val="both"/>
        <w:rPr>
          <w:rFonts w:ascii="Arial" w:hAnsi="Arial" w:cs="Arial"/>
        </w:rPr>
      </w:pPr>
      <w:r w:rsidRPr="00513AD4">
        <w:rPr>
          <w:rFonts w:ascii="Arial" w:hAnsi="Arial" w:cs="Arial"/>
        </w:rPr>
        <w:t xml:space="preserve">Vegetation sampling followed a stratified random design along the elevational gradient extending from </w:t>
      </w:r>
      <w:proofErr w:type="spellStart"/>
      <w:r w:rsidRPr="00513AD4">
        <w:rPr>
          <w:rFonts w:ascii="Arial" w:hAnsi="Arial" w:cs="Arial"/>
        </w:rPr>
        <w:t>Shershong</w:t>
      </w:r>
      <w:proofErr w:type="spellEnd"/>
      <w:r w:rsidRPr="00513AD4">
        <w:rPr>
          <w:rFonts w:ascii="Arial" w:hAnsi="Arial" w:cs="Arial"/>
        </w:rPr>
        <w:t xml:space="preserve"> (approximately 260 m </w:t>
      </w:r>
      <w:proofErr w:type="spellStart"/>
      <w:r w:rsidRPr="00513AD4">
        <w:rPr>
          <w:rFonts w:ascii="Arial" w:hAnsi="Arial" w:cs="Arial"/>
        </w:rPr>
        <w:t>a.s.l</w:t>
      </w:r>
      <w:proofErr w:type="spellEnd"/>
      <w:r w:rsidRPr="00513AD4">
        <w:rPr>
          <w:rFonts w:ascii="Arial" w:hAnsi="Arial" w:cs="Arial"/>
        </w:rPr>
        <w:t xml:space="preserve">.) in the south to Singye (approximately 1 964 m </w:t>
      </w:r>
      <w:proofErr w:type="spellStart"/>
      <w:r w:rsidRPr="00513AD4">
        <w:rPr>
          <w:rFonts w:ascii="Arial" w:hAnsi="Arial" w:cs="Arial"/>
        </w:rPr>
        <w:t>a.s.l</w:t>
      </w:r>
      <w:proofErr w:type="spellEnd"/>
      <w:r w:rsidRPr="00513AD4">
        <w:rPr>
          <w:rFonts w:ascii="Arial" w:hAnsi="Arial" w:cs="Arial"/>
        </w:rPr>
        <w:t>.) in the north. A total of 22</w:t>
      </w:r>
      <w:r w:rsidR="00E84F58">
        <w:rPr>
          <w:rFonts w:ascii="Arial" w:hAnsi="Arial" w:cs="Arial"/>
        </w:rPr>
        <w:t>0</w:t>
      </w:r>
      <w:r w:rsidRPr="00513AD4">
        <w:rPr>
          <w:rFonts w:ascii="Arial" w:hAnsi="Arial" w:cs="Arial"/>
        </w:rPr>
        <w:t xml:space="preserve"> plots were established across forest types to ensure representation of major vegetation zones and environmental conditions.</w:t>
      </w:r>
    </w:p>
    <w:p w14:paraId="04B1EA16" w14:textId="308555C4" w:rsidR="00513AD4" w:rsidRDefault="00513AD4" w:rsidP="005F01A3">
      <w:pPr>
        <w:spacing w:line="360" w:lineRule="auto"/>
        <w:jc w:val="both"/>
        <w:rPr>
          <w:rFonts w:ascii="Arial" w:hAnsi="Arial" w:cs="Arial"/>
        </w:rPr>
      </w:pPr>
      <w:r w:rsidRPr="00513AD4">
        <w:rPr>
          <w:rFonts w:ascii="Arial" w:hAnsi="Arial" w:cs="Arial"/>
        </w:rPr>
        <w:t xml:space="preserve">Each plot measured 20 × 20 m (400 </w:t>
      </w:r>
      <w:proofErr w:type="spellStart"/>
      <w:r w:rsidRPr="00513AD4">
        <w:rPr>
          <w:rFonts w:ascii="Arial" w:hAnsi="Arial" w:cs="Arial"/>
        </w:rPr>
        <w:t>m²</w:t>
      </w:r>
      <w:proofErr w:type="spellEnd"/>
      <w:r w:rsidRPr="00513AD4">
        <w:rPr>
          <w:rFonts w:ascii="Arial" w:hAnsi="Arial" w:cs="Arial"/>
        </w:rPr>
        <w:t xml:space="preserve">), a size widely used in forest community studies to </w:t>
      </w:r>
      <w:proofErr w:type="spellStart"/>
      <w:r w:rsidRPr="00513AD4">
        <w:rPr>
          <w:rFonts w:ascii="Arial" w:hAnsi="Arial" w:cs="Arial"/>
        </w:rPr>
        <w:t>characterise</w:t>
      </w:r>
      <w:proofErr w:type="spellEnd"/>
      <w:r w:rsidRPr="00513AD4">
        <w:rPr>
          <w:rFonts w:ascii="Arial" w:hAnsi="Arial" w:cs="Arial"/>
        </w:rPr>
        <w:t xml:space="preserve"> tree assemblages and stand structure, with a nested 2 × 2 m subplot used to survey herbaceous vegetation. Fieldwork was undertaken between March and November to encompass seasonal variability in </w:t>
      </w:r>
      <w:proofErr w:type="spellStart"/>
      <w:r w:rsidRPr="00513AD4">
        <w:rPr>
          <w:rFonts w:ascii="Arial" w:hAnsi="Arial" w:cs="Arial"/>
        </w:rPr>
        <w:t>understorey</w:t>
      </w:r>
      <w:proofErr w:type="spellEnd"/>
      <w:r w:rsidRPr="00513AD4">
        <w:rPr>
          <w:rFonts w:ascii="Arial" w:hAnsi="Arial" w:cs="Arial"/>
        </w:rPr>
        <w:t xml:space="preserve"> communities while avoiding periods of peak monsoon inaccessibility.</w:t>
      </w:r>
      <w:r w:rsidR="006360D5" w:rsidRPr="006360D5">
        <w:t xml:space="preserve"> </w:t>
      </w:r>
      <w:r w:rsidR="006360D5" w:rsidRPr="006360D5">
        <w:rPr>
          <w:rFonts w:ascii="Arial" w:hAnsi="Arial" w:cs="Arial"/>
        </w:rPr>
        <w:t>Plots were distributed approximately evenly among elevational bands and forest types to ensure balanced representation of vegetation zones. Within each band, plot locations were stratified by forest type and positioned using random bearings and distances from access transects, subject to terrain safety and forest accessibility constraints.</w:t>
      </w:r>
    </w:p>
    <w:p w14:paraId="1FC8CBB7" w14:textId="0B4C2EF3" w:rsidR="00513AD4" w:rsidRPr="00081FCE" w:rsidRDefault="00513AD4" w:rsidP="00081FCE">
      <w:pPr>
        <w:pStyle w:val="Heading2"/>
      </w:pPr>
      <w:r w:rsidRPr="00081FCE">
        <w:t>Vegetation data collection</w:t>
      </w:r>
    </w:p>
    <w:p w14:paraId="15789FCC" w14:textId="1C45805B" w:rsidR="00081FCE" w:rsidRPr="00081FCE" w:rsidRDefault="00081FCE" w:rsidP="00081FCE">
      <w:pPr>
        <w:spacing w:line="360" w:lineRule="auto"/>
        <w:jc w:val="both"/>
        <w:rPr>
          <w:rFonts w:ascii="Arial" w:hAnsi="Arial" w:cs="Arial"/>
        </w:rPr>
      </w:pPr>
      <w:r w:rsidRPr="00081FCE">
        <w:rPr>
          <w:rFonts w:ascii="Arial" w:hAnsi="Arial" w:cs="Arial"/>
        </w:rPr>
        <w:t xml:space="preserve">All free-standing woody individuals with </w:t>
      </w:r>
      <w:r w:rsidR="00C66009" w:rsidRPr="00081FCE">
        <w:rPr>
          <w:rFonts w:ascii="Arial" w:hAnsi="Arial" w:cs="Arial"/>
        </w:rPr>
        <w:t>diameters</w:t>
      </w:r>
      <w:r w:rsidRPr="00081FCE">
        <w:rPr>
          <w:rFonts w:ascii="Arial" w:hAnsi="Arial" w:cs="Arial"/>
        </w:rPr>
        <w:t xml:space="preserve"> at breast height (DBH) &gt; 1</w:t>
      </w:r>
      <w:r w:rsidR="00293F88">
        <w:rPr>
          <w:rFonts w:ascii="Arial" w:hAnsi="Arial" w:cs="Arial"/>
        </w:rPr>
        <w:t>0</w:t>
      </w:r>
      <w:r w:rsidRPr="00081FCE">
        <w:rPr>
          <w:rFonts w:ascii="Arial" w:hAnsi="Arial" w:cs="Arial"/>
        </w:rPr>
        <w:t xml:space="preserve"> cm and height &gt; 1.3 m were recorded as trees. DBH was measured using diameter tapes, and total height was estimated </w:t>
      </w:r>
      <w:r w:rsidR="00615F63">
        <w:rPr>
          <w:rFonts w:ascii="Arial" w:hAnsi="Arial" w:cs="Arial"/>
        </w:rPr>
        <w:t>by using</w:t>
      </w:r>
      <w:r w:rsidRPr="00081FCE">
        <w:rPr>
          <w:rFonts w:ascii="Arial" w:hAnsi="Arial" w:cs="Arial"/>
        </w:rPr>
        <w:t xml:space="preserve"> hypsometers. Shrubs were assessed for presence, height, and lateral spread, while herbaceous species were quantified within subplots using percentage cover, frequency, and maximum height.</w:t>
      </w:r>
    </w:p>
    <w:p w14:paraId="4F970F07" w14:textId="7DEDBA8E" w:rsidR="00081FCE" w:rsidRPr="00081FCE" w:rsidRDefault="00081FCE" w:rsidP="00081FCE">
      <w:pPr>
        <w:spacing w:line="360" w:lineRule="auto"/>
        <w:jc w:val="both"/>
        <w:rPr>
          <w:rFonts w:ascii="Arial" w:hAnsi="Arial" w:cs="Arial"/>
        </w:rPr>
      </w:pPr>
      <w:r w:rsidRPr="00081FCE">
        <w:rPr>
          <w:rFonts w:ascii="Arial" w:hAnsi="Arial" w:cs="Arial"/>
        </w:rPr>
        <w:t xml:space="preserve">Regeneration comprised all woody individuals below the canopy layer that had not yet reached the tree stratum. Seedlings were defined as individuals ≤ 1.3 m in height, </w:t>
      </w:r>
      <w:r w:rsidRPr="00081FCE">
        <w:rPr>
          <w:rFonts w:ascii="Arial" w:hAnsi="Arial" w:cs="Arial"/>
        </w:rPr>
        <w:lastRenderedPageBreak/>
        <w:t>irrespective of stem diameter, whereas saplings were defined as individuals &gt; 1.3 m in height with DBH ≤ 1</w:t>
      </w:r>
      <w:r w:rsidR="004D0A7A">
        <w:rPr>
          <w:rFonts w:ascii="Arial" w:hAnsi="Arial" w:cs="Arial"/>
        </w:rPr>
        <w:t>0</w:t>
      </w:r>
      <w:r w:rsidRPr="00081FCE">
        <w:rPr>
          <w:rFonts w:ascii="Arial" w:hAnsi="Arial" w:cs="Arial"/>
        </w:rPr>
        <w:t xml:space="preserve"> cm. </w:t>
      </w:r>
      <w:r w:rsidR="00CA5E5A">
        <w:rPr>
          <w:rFonts w:ascii="Arial" w:hAnsi="Arial" w:cs="Arial"/>
        </w:rPr>
        <w:t>Species</w:t>
      </w:r>
      <w:r w:rsidRPr="00081FCE">
        <w:rPr>
          <w:rFonts w:ascii="Arial" w:hAnsi="Arial" w:cs="Arial"/>
        </w:rPr>
        <w:t xml:space="preserve"> exceeding 1</w:t>
      </w:r>
      <w:r w:rsidR="00CA5E5A">
        <w:rPr>
          <w:rFonts w:ascii="Arial" w:hAnsi="Arial" w:cs="Arial"/>
        </w:rPr>
        <w:t>0</w:t>
      </w:r>
      <w:r w:rsidRPr="00081FCE">
        <w:rPr>
          <w:rFonts w:ascii="Arial" w:hAnsi="Arial" w:cs="Arial"/>
        </w:rPr>
        <w:t xml:space="preserve"> cm DBH were assigned to the tree layer. Regeneration richness therefore integrated both seedling and sapling cohorts, representing early demographic stages that are particularly sensitive to microsite conditions and </w:t>
      </w:r>
      <w:r w:rsidR="00C66009" w:rsidRPr="00081FCE">
        <w:rPr>
          <w:rFonts w:ascii="Arial" w:hAnsi="Arial" w:cs="Arial"/>
        </w:rPr>
        <w:t>neighborhood</w:t>
      </w:r>
      <w:r w:rsidRPr="00081FCE">
        <w:rPr>
          <w:rFonts w:ascii="Arial" w:hAnsi="Arial" w:cs="Arial"/>
        </w:rPr>
        <w:t xml:space="preserve"> effects.</w:t>
      </w:r>
    </w:p>
    <w:p w14:paraId="7CD3548E" w14:textId="582D4DE1" w:rsidR="00081FCE" w:rsidRPr="00081FCE" w:rsidRDefault="00081FCE" w:rsidP="00081FCE">
      <w:pPr>
        <w:spacing w:line="360" w:lineRule="auto"/>
        <w:jc w:val="both"/>
        <w:rPr>
          <w:rFonts w:ascii="Arial" w:hAnsi="Arial" w:cs="Arial"/>
        </w:rPr>
      </w:pPr>
      <w:r w:rsidRPr="00081FCE">
        <w:rPr>
          <w:rFonts w:ascii="Arial" w:hAnsi="Arial" w:cs="Arial"/>
        </w:rPr>
        <w:t xml:space="preserve">Species identifications were verified using regional floras and herbarium reference material, and taxonomic nomenclature was cross-checked against the World Flora Online database (accessed 6 February 2026). Structural attributes, including basal area, DBH-class distributions, and height-class distributions, were derived to </w:t>
      </w:r>
      <w:r w:rsidR="00C66009" w:rsidRPr="00081FCE">
        <w:rPr>
          <w:rFonts w:ascii="Arial" w:hAnsi="Arial" w:cs="Arial"/>
        </w:rPr>
        <w:t>characterize</w:t>
      </w:r>
      <w:r w:rsidRPr="00081FCE">
        <w:rPr>
          <w:rFonts w:ascii="Arial" w:hAnsi="Arial" w:cs="Arial"/>
        </w:rPr>
        <w:t xml:space="preserve"> stand structure and regeneration dynamics across forest types and elevational gradients.</w:t>
      </w:r>
    </w:p>
    <w:p w14:paraId="12663F42" w14:textId="77777777" w:rsidR="0066174E" w:rsidRPr="0066174E" w:rsidRDefault="0066174E" w:rsidP="005F01A3">
      <w:pPr>
        <w:pStyle w:val="Heading2"/>
      </w:pPr>
      <w:r w:rsidRPr="0066174E">
        <w:t>Environmental variables</w:t>
      </w:r>
    </w:p>
    <w:p w14:paraId="33819337" w14:textId="287A9727" w:rsidR="00853D2D" w:rsidRDefault="00853D2D" w:rsidP="00853D2D">
      <w:pPr>
        <w:spacing w:line="360" w:lineRule="auto"/>
        <w:jc w:val="both"/>
        <w:rPr>
          <w:rFonts w:ascii="Arial" w:hAnsi="Arial" w:cs="Arial"/>
        </w:rPr>
      </w:pPr>
      <w:r w:rsidRPr="00853D2D">
        <w:rPr>
          <w:rFonts w:ascii="Arial" w:hAnsi="Arial" w:cs="Arial"/>
        </w:rPr>
        <w:t>Topographic attributes</w:t>
      </w:r>
      <w:r w:rsidR="00CF3BEA">
        <w:rPr>
          <w:rFonts w:ascii="Arial" w:hAnsi="Arial" w:cs="Arial"/>
        </w:rPr>
        <w:t xml:space="preserve"> (Latitude &amp; Longitude)</w:t>
      </w:r>
      <w:r w:rsidRPr="00853D2D">
        <w:rPr>
          <w:rFonts w:ascii="Arial" w:hAnsi="Arial" w:cs="Arial"/>
        </w:rPr>
        <w:t xml:space="preserve">, including elevation, slope, and aspect, were recorded in the field using handheld Global Positioning System receivers, clinometers, and compasses. Spatial climatic surfaces describing air temperature, precipitation, evapotranspiration, and water balance were extracted from </w:t>
      </w:r>
      <w:r w:rsidR="00265F4D" w:rsidRPr="00853D2D">
        <w:rPr>
          <w:rFonts w:ascii="Arial" w:hAnsi="Arial" w:cs="Arial"/>
        </w:rPr>
        <w:t>the national gridded climate dataset produced by Dorji et al. (2025), developed by CSIRO and distributed with a permanent digital object identifier (</w:t>
      </w:r>
      <w:hyperlink r:id="rId5" w:tgtFrame="_new" w:history="1">
        <w:r w:rsidR="00265F4D" w:rsidRPr="00853D2D">
          <w:rPr>
            <w:rStyle w:val="Hyperlink"/>
            <w:rFonts w:ascii="Arial" w:hAnsi="Arial" w:cs="Arial"/>
          </w:rPr>
          <w:t>https://doi.org/10.25919/pec2-hs50</w:t>
        </w:r>
      </w:hyperlink>
      <w:r w:rsidR="00265F4D" w:rsidRPr="00853D2D">
        <w:rPr>
          <w:rFonts w:ascii="Arial" w:hAnsi="Arial" w:cs="Arial"/>
        </w:rPr>
        <w:t>).</w:t>
      </w:r>
    </w:p>
    <w:p w14:paraId="3C0C4F70" w14:textId="4861E6A9" w:rsidR="00265F4D" w:rsidRPr="0066174E" w:rsidRDefault="00853D2D" w:rsidP="0066174E">
      <w:pPr>
        <w:spacing w:line="360" w:lineRule="auto"/>
        <w:jc w:val="both"/>
        <w:rPr>
          <w:rFonts w:ascii="Arial" w:hAnsi="Arial" w:cs="Arial"/>
        </w:rPr>
      </w:pPr>
      <w:r w:rsidRPr="00853D2D">
        <w:rPr>
          <w:rFonts w:ascii="Arial" w:hAnsi="Arial" w:cs="Arial"/>
        </w:rPr>
        <w:t>These climate layers were used consistently across all spatial and statistical analyses.</w:t>
      </w:r>
    </w:p>
    <w:p w14:paraId="6EE5B8E5" w14:textId="77777777" w:rsidR="0066174E" w:rsidRPr="0066174E" w:rsidRDefault="0066174E" w:rsidP="005F01A3">
      <w:pPr>
        <w:pStyle w:val="Heading2"/>
      </w:pPr>
      <w:r w:rsidRPr="0066174E">
        <w:t>Data preparation</w:t>
      </w:r>
    </w:p>
    <w:p w14:paraId="48FE51E7" w14:textId="56C19042" w:rsidR="00CB29A3" w:rsidRPr="0066174E" w:rsidRDefault="0066174E" w:rsidP="0066174E">
      <w:pPr>
        <w:spacing w:line="360" w:lineRule="auto"/>
        <w:jc w:val="both"/>
        <w:rPr>
          <w:rFonts w:ascii="Arial" w:hAnsi="Arial" w:cs="Arial"/>
        </w:rPr>
      </w:pPr>
      <w:r w:rsidRPr="0066174E">
        <w:rPr>
          <w:rFonts w:ascii="Arial" w:hAnsi="Arial" w:cs="Arial"/>
        </w:rPr>
        <w:t xml:space="preserve">Field records were curated in tabular format to compute species abundance, frequency, basal area and importance value index separately for each vegetation stratum. Alpha diversity was quantified using the Shannon–Wiener index (H′), Simpson’s diversity index (1 – D) and </w:t>
      </w:r>
      <w:proofErr w:type="spellStart"/>
      <w:r w:rsidRPr="0066174E">
        <w:rPr>
          <w:rFonts w:ascii="Arial" w:hAnsi="Arial" w:cs="Arial"/>
        </w:rPr>
        <w:t>Pielou’s</w:t>
      </w:r>
      <w:proofErr w:type="spellEnd"/>
      <w:r w:rsidRPr="0066174E">
        <w:rPr>
          <w:rFonts w:ascii="Arial" w:hAnsi="Arial" w:cs="Arial"/>
        </w:rPr>
        <w:t xml:space="preserve"> evenness (J) for each forest type and vegetation layer (Shannon 1948; Simpson 1949; </w:t>
      </w:r>
      <w:proofErr w:type="spellStart"/>
      <w:r w:rsidRPr="0066174E">
        <w:rPr>
          <w:rFonts w:ascii="Arial" w:hAnsi="Arial" w:cs="Arial"/>
        </w:rPr>
        <w:t>Pielou</w:t>
      </w:r>
      <w:proofErr w:type="spellEnd"/>
      <w:r w:rsidRPr="0066174E">
        <w:rPr>
          <w:rFonts w:ascii="Arial" w:hAnsi="Arial" w:cs="Arial"/>
        </w:rPr>
        <w:t xml:space="preserve"> 1966).</w:t>
      </w:r>
    </w:p>
    <w:p w14:paraId="7B46543D" w14:textId="77777777" w:rsidR="0066174E" w:rsidRPr="0066174E" w:rsidRDefault="0066174E" w:rsidP="005F01A3">
      <w:pPr>
        <w:pStyle w:val="Heading2"/>
      </w:pPr>
      <w:r w:rsidRPr="0066174E">
        <w:t>Multivariate community analyses</w:t>
      </w:r>
    </w:p>
    <w:p w14:paraId="541AB10E" w14:textId="77777777" w:rsidR="0066174E" w:rsidRPr="0066174E" w:rsidRDefault="0066174E" w:rsidP="0066174E">
      <w:pPr>
        <w:spacing w:line="360" w:lineRule="auto"/>
        <w:jc w:val="both"/>
        <w:rPr>
          <w:rFonts w:ascii="Arial" w:hAnsi="Arial" w:cs="Arial"/>
        </w:rPr>
      </w:pPr>
      <w:r w:rsidRPr="0066174E">
        <w:rPr>
          <w:rFonts w:ascii="Arial" w:hAnsi="Arial" w:cs="Arial"/>
        </w:rPr>
        <w:t>Floristic variation among plots was examined using non-metric multidimensional scaling (NMDS) based on Bray–Curtis dissimilarities (Bray and Curtis 1957; Kruskal 1964). Species–environment relationships were assessed using canonical correspondence analysis (</w:t>
      </w:r>
      <w:proofErr w:type="spellStart"/>
      <w:r w:rsidRPr="0066174E">
        <w:rPr>
          <w:rFonts w:ascii="Arial" w:hAnsi="Arial" w:cs="Arial"/>
        </w:rPr>
        <w:t>CCA</w:t>
      </w:r>
      <w:proofErr w:type="spellEnd"/>
      <w:r w:rsidRPr="0066174E">
        <w:rPr>
          <w:rFonts w:ascii="Arial" w:hAnsi="Arial" w:cs="Arial"/>
        </w:rPr>
        <w:t>), which constrains ordination axes by linear combinations of climatic and topographic predictors (ter Braak 1986). Ordination axes were interpreted through correlations between site scores and environmental variables.</w:t>
      </w:r>
    </w:p>
    <w:p w14:paraId="1F073A88" w14:textId="6C25268D" w:rsidR="0066174E" w:rsidRPr="0066174E" w:rsidRDefault="0066174E" w:rsidP="0066174E">
      <w:pPr>
        <w:spacing w:line="360" w:lineRule="auto"/>
        <w:jc w:val="both"/>
        <w:rPr>
          <w:rFonts w:ascii="Arial" w:hAnsi="Arial" w:cs="Arial"/>
        </w:rPr>
      </w:pPr>
      <w:r w:rsidRPr="0066174E">
        <w:rPr>
          <w:rFonts w:ascii="Arial" w:hAnsi="Arial" w:cs="Arial"/>
        </w:rPr>
        <w:lastRenderedPageBreak/>
        <w:t>Community differences among forest types were tested using permutational multivariate analysis of variance (Anderso</w:t>
      </w:r>
      <w:r w:rsidR="00457622">
        <w:rPr>
          <w:rFonts w:ascii="Arial" w:hAnsi="Arial" w:cs="Arial"/>
        </w:rPr>
        <w:t>n,</w:t>
      </w:r>
      <w:r w:rsidRPr="0066174E">
        <w:rPr>
          <w:rFonts w:ascii="Arial" w:hAnsi="Arial" w:cs="Arial"/>
        </w:rPr>
        <w:t xml:space="preserve"> 2001). NMDS was computed with two dimensions (k = 2) and a fixed random seed (42) to ensure reproducibility. Environmental vectors were fitted using permutation tests with 999 randomizations. </w:t>
      </w:r>
      <w:proofErr w:type="spellStart"/>
      <w:r w:rsidRPr="0066174E">
        <w:rPr>
          <w:rFonts w:ascii="Arial" w:hAnsi="Arial" w:cs="Arial"/>
        </w:rPr>
        <w:t>PERMANOVA</w:t>
      </w:r>
      <w:proofErr w:type="spellEnd"/>
      <w:r w:rsidRPr="0066174E">
        <w:rPr>
          <w:rFonts w:ascii="Arial" w:hAnsi="Arial" w:cs="Arial"/>
        </w:rPr>
        <w:t xml:space="preserve"> was conducted with 999 permutations, and homogeneity of multivariate dispersions was evaluated using permutation tests on distance-to-centroid values to verify that significant results reflected shifts in community centroids rather than unequal spread among groups.</w:t>
      </w:r>
    </w:p>
    <w:p w14:paraId="735D4214" w14:textId="77777777" w:rsidR="0066174E" w:rsidRPr="0066174E" w:rsidRDefault="0066174E" w:rsidP="0066174E">
      <w:pPr>
        <w:spacing w:line="360" w:lineRule="auto"/>
        <w:jc w:val="both"/>
        <w:rPr>
          <w:rFonts w:ascii="Arial" w:hAnsi="Arial" w:cs="Arial"/>
        </w:rPr>
      </w:pPr>
      <w:r w:rsidRPr="0066174E">
        <w:rPr>
          <w:rFonts w:ascii="Arial" w:hAnsi="Arial" w:cs="Arial"/>
        </w:rPr>
        <w:t xml:space="preserve">Prior to </w:t>
      </w:r>
      <w:proofErr w:type="spellStart"/>
      <w:r w:rsidRPr="0066174E">
        <w:rPr>
          <w:rFonts w:ascii="Arial" w:hAnsi="Arial" w:cs="Arial"/>
        </w:rPr>
        <w:t>CCA</w:t>
      </w:r>
      <w:proofErr w:type="spellEnd"/>
      <w:r w:rsidRPr="0066174E">
        <w:rPr>
          <w:rFonts w:ascii="Arial" w:hAnsi="Arial" w:cs="Arial"/>
        </w:rPr>
        <w:t>, collinearity among predictors was assessed using variance inflation factors, and variables exceeding a threshold of 10 were sequentially removed following deterministic selection rules. Statistical significance of constrained axes and individual predictors was evaluated using 999 permutations.</w:t>
      </w:r>
    </w:p>
    <w:p w14:paraId="5BBCEED4" w14:textId="77777777" w:rsidR="0066174E" w:rsidRPr="0066174E" w:rsidRDefault="0066174E" w:rsidP="0066174E">
      <w:pPr>
        <w:spacing w:line="360" w:lineRule="auto"/>
        <w:jc w:val="both"/>
        <w:rPr>
          <w:rFonts w:ascii="Arial" w:hAnsi="Arial" w:cs="Arial"/>
        </w:rPr>
      </w:pPr>
      <w:r w:rsidRPr="0066174E">
        <w:rPr>
          <w:rFonts w:ascii="Arial" w:hAnsi="Arial" w:cs="Arial"/>
        </w:rPr>
        <w:t>Indicator species analysis was applied to identify taxa significantly associated with forest types using the indicator value method, with significance assessed at α = 0.05 and 999 permutations (</w:t>
      </w:r>
      <w:proofErr w:type="spellStart"/>
      <w:r w:rsidRPr="0066174E">
        <w:rPr>
          <w:rFonts w:ascii="Arial" w:hAnsi="Arial" w:cs="Arial"/>
        </w:rPr>
        <w:t>Dufrêne</w:t>
      </w:r>
      <w:proofErr w:type="spellEnd"/>
      <w:r w:rsidRPr="0066174E">
        <w:rPr>
          <w:rFonts w:ascii="Arial" w:hAnsi="Arial" w:cs="Arial"/>
        </w:rPr>
        <w:t xml:space="preserve"> and Legendre 1997).</w:t>
      </w:r>
    </w:p>
    <w:p w14:paraId="3FC472E9" w14:textId="77777777" w:rsidR="005F01A3" w:rsidRPr="005F01A3" w:rsidRDefault="005F01A3" w:rsidP="005F01A3">
      <w:pPr>
        <w:pStyle w:val="Heading2"/>
      </w:pPr>
      <w:r w:rsidRPr="005F01A3">
        <w:t>Regeneration dynamics and predictive modelling</w:t>
      </w:r>
    </w:p>
    <w:p w14:paraId="6E7936F3" w14:textId="776352B7" w:rsidR="005F01A3" w:rsidRPr="005F01A3" w:rsidRDefault="005F01A3" w:rsidP="005F01A3">
      <w:pPr>
        <w:spacing w:line="360" w:lineRule="auto"/>
        <w:jc w:val="both"/>
        <w:rPr>
          <w:rFonts w:ascii="Arial" w:hAnsi="Arial" w:cs="Arial"/>
        </w:rPr>
      </w:pPr>
      <w:r w:rsidRPr="005F01A3">
        <w:rPr>
          <w:rFonts w:ascii="Arial" w:hAnsi="Arial" w:cs="Arial"/>
        </w:rPr>
        <w:t xml:space="preserve">Seedling and sapling data were </w:t>
      </w:r>
      <w:proofErr w:type="spellStart"/>
      <w:r w:rsidRPr="005F01A3">
        <w:rPr>
          <w:rFonts w:ascii="Arial" w:hAnsi="Arial" w:cs="Arial"/>
        </w:rPr>
        <w:t>analysed</w:t>
      </w:r>
      <w:proofErr w:type="spellEnd"/>
      <w:r w:rsidRPr="005F01A3">
        <w:rPr>
          <w:rFonts w:ascii="Arial" w:hAnsi="Arial" w:cs="Arial"/>
        </w:rPr>
        <w:t xml:space="preserve"> to quantify regeneration patterns and spatial structure across forest types and elevations. Environmental drivers of regeneration richness were modelled using random forest and extreme gradient boosting algorithms, both of which are widely applied for non-linear ecological prediction problems (</w:t>
      </w:r>
      <w:proofErr w:type="spellStart"/>
      <w:r w:rsidRPr="005F01A3">
        <w:rPr>
          <w:rFonts w:ascii="Arial" w:hAnsi="Arial" w:cs="Arial"/>
        </w:rPr>
        <w:t>Breiman</w:t>
      </w:r>
      <w:proofErr w:type="spellEnd"/>
      <w:r w:rsidRPr="005F01A3">
        <w:rPr>
          <w:rFonts w:ascii="Arial" w:hAnsi="Arial" w:cs="Arial"/>
        </w:rPr>
        <w:t xml:space="preserve"> 2001; </w:t>
      </w:r>
      <w:r w:rsidR="00F32C5D">
        <w:rPr>
          <w:rFonts w:ascii="Arial" w:hAnsi="Arial" w:cs="Arial"/>
        </w:rPr>
        <w:t xml:space="preserve">(Chen &amp; </w:t>
      </w:r>
      <w:proofErr w:type="spellStart"/>
      <w:r w:rsidR="00F32C5D">
        <w:rPr>
          <w:rFonts w:ascii="Arial" w:hAnsi="Arial" w:cs="Arial"/>
        </w:rPr>
        <w:t>Guestrin</w:t>
      </w:r>
      <w:proofErr w:type="spellEnd"/>
      <w:r w:rsidR="00F32C5D">
        <w:rPr>
          <w:rFonts w:ascii="Arial" w:hAnsi="Arial" w:cs="Arial"/>
        </w:rPr>
        <w:t xml:space="preserve"> 2016)</w:t>
      </w:r>
      <w:r w:rsidRPr="005F01A3">
        <w:rPr>
          <w:rFonts w:ascii="Arial" w:hAnsi="Arial" w:cs="Arial"/>
        </w:rPr>
        <w:t>. Random forest models were fitted with 500 trees, and predictor importance was quantified as the percentage increase in mean squared error following permutation. Gradient boosting models were parameterized with 100 boosting rounds, a maximum tree depth of four and a learning rate of 0.1, and predictor influence was assessed using relative gain values.</w:t>
      </w:r>
    </w:p>
    <w:p w14:paraId="3B3DFBBE" w14:textId="77777777" w:rsidR="005F01A3" w:rsidRDefault="005F01A3" w:rsidP="005F01A3">
      <w:pPr>
        <w:spacing w:line="360" w:lineRule="auto"/>
        <w:jc w:val="both"/>
        <w:rPr>
          <w:rFonts w:ascii="Arial" w:hAnsi="Arial" w:cs="Arial"/>
        </w:rPr>
      </w:pPr>
      <w:r w:rsidRPr="005F01A3">
        <w:rPr>
          <w:rFonts w:ascii="Arial" w:hAnsi="Arial" w:cs="Arial"/>
        </w:rPr>
        <w:t>Model performance was evaluated using five-fold cross-validation with a fixed random seed (42) to ensure reproducibility. Predictive accuracy was summarized using cross-validated error statistics and explained variance, and response curves were inspected to verify ecologically plausible relationships between regeneration patterns and key climatic or topographic predictors.</w:t>
      </w:r>
    </w:p>
    <w:p w14:paraId="7F9C4CE1" w14:textId="77777777" w:rsidR="00E61365" w:rsidRDefault="00E61365" w:rsidP="005F01A3">
      <w:pPr>
        <w:spacing w:line="360" w:lineRule="auto"/>
        <w:jc w:val="both"/>
        <w:rPr>
          <w:rFonts w:ascii="Arial" w:hAnsi="Arial" w:cs="Arial"/>
        </w:rPr>
      </w:pPr>
    </w:p>
    <w:p w14:paraId="35AB24EA" w14:textId="77777777" w:rsidR="00E61365" w:rsidRPr="005F01A3" w:rsidRDefault="00E61365" w:rsidP="005F01A3">
      <w:pPr>
        <w:spacing w:line="360" w:lineRule="auto"/>
        <w:jc w:val="both"/>
        <w:rPr>
          <w:rFonts w:ascii="Arial" w:hAnsi="Arial" w:cs="Arial"/>
        </w:rPr>
      </w:pPr>
    </w:p>
    <w:p w14:paraId="25D192E8" w14:textId="77777777" w:rsidR="005F01A3" w:rsidRPr="005F01A3" w:rsidRDefault="005F01A3" w:rsidP="005F01A3">
      <w:pPr>
        <w:pStyle w:val="Heading2"/>
      </w:pPr>
      <w:r w:rsidRPr="005F01A3">
        <w:lastRenderedPageBreak/>
        <w:t>Software environment</w:t>
      </w:r>
    </w:p>
    <w:p w14:paraId="73FDA56C" w14:textId="6C8DD546" w:rsidR="005F01A3" w:rsidRPr="005F01A3" w:rsidRDefault="005F01A3" w:rsidP="005F01A3">
      <w:pPr>
        <w:spacing w:line="360" w:lineRule="auto"/>
        <w:jc w:val="both"/>
        <w:rPr>
          <w:rFonts w:ascii="Arial" w:hAnsi="Arial" w:cs="Arial"/>
        </w:rPr>
      </w:pPr>
      <w:r w:rsidRPr="005F01A3">
        <w:rPr>
          <w:rFonts w:ascii="Arial" w:hAnsi="Arial" w:cs="Arial"/>
        </w:rPr>
        <w:t xml:space="preserve">All analyses were conducted in R. Community-ecology workflows, including ordination, dissimilarity-based testing and indicator-species analysis, were implemented primarily using functions described in the ecological literature underlying widely adopted multivariate methods (ter Braak 1986; Anderson 2001; </w:t>
      </w:r>
      <w:proofErr w:type="spellStart"/>
      <w:r w:rsidRPr="005F01A3">
        <w:rPr>
          <w:rFonts w:ascii="Arial" w:hAnsi="Arial" w:cs="Arial"/>
        </w:rPr>
        <w:t>Dufrêne</w:t>
      </w:r>
      <w:proofErr w:type="spellEnd"/>
      <w:r w:rsidRPr="005F01A3">
        <w:rPr>
          <w:rFonts w:ascii="Arial" w:hAnsi="Arial" w:cs="Arial"/>
        </w:rPr>
        <w:t xml:space="preserve"> and Legendre 1997). Results from selected multivariate classifications and indicator-species procedures were independently verified in PC-ORD version 5 to confirm analytical consistency. </w:t>
      </w:r>
      <w:r w:rsidR="00E61365">
        <w:rPr>
          <w:rFonts w:ascii="Arial" w:hAnsi="Arial" w:cs="Arial"/>
        </w:rPr>
        <w:t>Microsoft excel</w:t>
      </w:r>
      <w:r w:rsidRPr="005F01A3">
        <w:rPr>
          <w:rFonts w:ascii="Arial" w:hAnsi="Arial" w:cs="Arial"/>
        </w:rPr>
        <w:t xml:space="preserve"> was used or preliminary data curation and quality-control screening prior to statistical analysis.</w:t>
      </w:r>
    </w:p>
    <w:p w14:paraId="35568C4D" w14:textId="77777777" w:rsidR="005F01A3" w:rsidRPr="005F01A3" w:rsidRDefault="005F01A3" w:rsidP="005F01A3">
      <w:pPr>
        <w:pStyle w:val="Heading2"/>
      </w:pPr>
      <w:r w:rsidRPr="005F01A3">
        <w:t>Reproducibility and data stewardship</w:t>
      </w:r>
    </w:p>
    <w:p w14:paraId="545134A5" w14:textId="727E3C08" w:rsidR="005F01A3" w:rsidRPr="005F01A3" w:rsidRDefault="005F01A3" w:rsidP="005F01A3">
      <w:pPr>
        <w:spacing w:line="360" w:lineRule="auto"/>
        <w:jc w:val="both"/>
        <w:rPr>
          <w:rFonts w:ascii="Arial" w:hAnsi="Arial" w:cs="Arial"/>
        </w:rPr>
      </w:pPr>
      <w:r w:rsidRPr="005F01A3">
        <w:rPr>
          <w:rFonts w:ascii="Arial" w:hAnsi="Arial" w:cs="Arial"/>
        </w:rPr>
        <w:t>Reproducibility was ensured through systematic archiving of raw field observations, spatial environmental layers, curated analysis tables and derived outputs. All distance measures, ordination settings, permutation schemes and machine-learning hyperparameters were documented in metadata files accompanying the archived datasets. Intermediate products, including ordination scores, regeneration prediction surfaces, cross-validation partitions and variable-importance tables</w:t>
      </w:r>
      <w:r>
        <w:rPr>
          <w:rFonts w:ascii="Arial" w:hAnsi="Arial" w:cs="Arial"/>
        </w:rPr>
        <w:t xml:space="preserve"> </w:t>
      </w:r>
      <w:r w:rsidRPr="005F01A3">
        <w:rPr>
          <w:rFonts w:ascii="Arial" w:hAnsi="Arial" w:cs="Arial"/>
        </w:rPr>
        <w:t>were retained to permit independent replication of all analytical steps.</w:t>
      </w:r>
    </w:p>
    <w:p w14:paraId="46383BCD" w14:textId="41A39D1E" w:rsidR="006B039B" w:rsidRDefault="005F01A3" w:rsidP="0072496B">
      <w:pPr>
        <w:spacing w:line="360" w:lineRule="auto"/>
        <w:jc w:val="both"/>
        <w:rPr>
          <w:rFonts w:ascii="Arial" w:hAnsi="Arial" w:cs="Arial"/>
        </w:rPr>
      </w:pPr>
      <w:r w:rsidRPr="005F01A3">
        <w:rPr>
          <w:rFonts w:ascii="Arial" w:hAnsi="Arial" w:cs="Arial"/>
        </w:rPr>
        <w:t>Upon submission, data and code supporting the results will be deposited in a public repository with a digital object identifier in accordance with data-sharing policy, with anonymized access provided during double-blind peer review.</w:t>
      </w:r>
    </w:p>
    <w:p w14:paraId="498D4CC8" w14:textId="77777777" w:rsidR="00171884" w:rsidRDefault="00171884" w:rsidP="0072496B">
      <w:pPr>
        <w:spacing w:line="360" w:lineRule="auto"/>
        <w:jc w:val="both"/>
        <w:rPr>
          <w:rFonts w:ascii="Arial" w:hAnsi="Arial" w:cs="Arial"/>
        </w:rPr>
      </w:pPr>
    </w:p>
    <w:p w14:paraId="5A99EFAA" w14:textId="77777777" w:rsidR="00730057" w:rsidRPr="00DD374B" w:rsidRDefault="00730057" w:rsidP="00730057">
      <w:pPr>
        <w:pStyle w:val="Heading1"/>
        <w:rPr>
          <w:rFonts w:ascii="Times New Roman" w:hAnsi="Times New Roman" w:cs="Times New Roman"/>
        </w:rPr>
      </w:pPr>
      <w:r w:rsidRPr="00DD374B">
        <w:rPr>
          <w:rFonts w:ascii="Times New Roman" w:hAnsi="Times New Roman" w:cs="Times New Roman"/>
        </w:rPr>
        <w:t>Results</w:t>
      </w:r>
    </w:p>
    <w:p w14:paraId="5E8C410C"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Community composition and ordination</w:t>
      </w:r>
    </w:p>
    <w:p w14:paraId="45A83F9A" w14:textId="77777777" w:rsidR="00730057" w:rsidRPr="00DD374B" w:rsidRDefault="00730057" w:rsidP="00730057">
      <w:pPr>
        <w:spacing w:line="360" w:lineRule="auto"/>
        <w:jc w:val="both"/>
      </w:pPr>
      <w:r w:rsidRPr="00DD374B">
        <w:t xml:space="preserve">Non-metric multidimensional scaling (NMDS) revealed clear compositional gradients across forest types and vegetation strata (Figure 1). Stress values were uniformly low (trees = 0.0001; shrubs = 0.070; herbs = 0.001; regeneration = 0.0006), indicating excellent two-dimensional representation of Bray–Curtis dissimilarities (Appendix </w:t>
      </w:r>
      <w:proofErr w:type="spellStart"/>
      <w:r w:rsidRPr="00DD374B">
        <w:t>S3</w:t>
      </w:r>
      <w:proofErr w:type="spellEnd"/>
      <w:r w:rsidRPr="00DD374B">
        <w:t>).</w:t>
      </w:r>
    </w:p>
    <w:p w14:paraId="629CD368" w14:textId="77777777" w:rsidR="00730057" w:rsidRPr="00DD374B" w:rsidRDefault="00730057" w:rsidP="00730057">
      <w:pPr>
        <w:spacing w:line="360" w:lineRule="auto"/>
        <w:jc w:val="both"/>
      </w:pPr>
      <w:r w:rsidRPr="00DD374B">
        <w:t xml:space="preserve">Shrub and herb assemblages displayed the greatest dispersion in ordination space and the strongest alignment with fitted climatic vectors, particularly temperature, evapotranspiration and precipitation (Figure </w:t>
      </w:r>
      <w:proofErr w:type="spellStart"/>
      <w:r w:rsidRPr="00DD374B">
        <w:t>1B</w:t>
      </w:r>
      <w:proofErr w:type="spellEnd"/>
      <w:r w:rsidRPr="00DD374B">
        <w:t xml:space="preserve">–C). Tree assemblages were comparatively compressed along NMDS axes </w:t>
      </w:r>
      <w:r w:rsidRPr="00DD374B">
        <w:lastRenderedPageBreak/>
        <w:t xml:space="preserve">(Figure </w:t>
      </w:r>
      <w:proofErr w:type="spellStart"/>
      <w:r w:rsidRPr="00DD374B">
        <w:t>1A</w:t>
      </w:r>
      <w:proofErr w:type="spellEnd"/>
      <w:r w:rsidRPr="00DD374B">
        <w:t xml:space="preserve">), indicating lower turnover across forest types. Regeneration plots exhibited broad scatter, suggesting heterogeneous recruitment patterns along environmental gradients (Figure </w:t>
      </w:r>
      <w:proofErr w:type="spellStart"/>
      <w:r w:rsidRPr="00DD374B">
        <w:t>1D</w:t>
      </w:r>
      <w:proofErr w:type="spellEnd"/>
      <w:r w:rsidRPr="00DD374B">
        <w:t>).</w:t>
      </w:r>
    </w:p>
    <w:p w14:paraId="35671C2A" w14:textId="77777777" w:rsidR="00730057" w:rsidRPr="00DD374B" w:rsidRDefault="00730057" w:rsidP="00730057">
      <w:pPr>
        <w:spacing w:line="360" w:lineRule="auto"/>
        <w:jc w:val="both"/>
      </w:pPr>
      <w:r w:rsidRPr="00DD374B">
        <w:t>These stratified responses mirror documented altitudinal forest-type transitions along Bhutanese dry valley slopes (</w:t>
      </w:r>
      <w:proofErr w:type="spellStart"/>
      <w:r w:rsidRPr="00DD374B">
        <w:t>Wangda</w:t>
      </w:r>
      <w:proofErr w:type="spellEnd"/>
      <w:r w:rsidRPr="00DD374B">
        <w:t xml:space="preserve"> &amp; Ohsawa </w:t>
      </w:r>
      <w:proofErr w:type="spellStart"/>
      <w:r w:rsidRPr="00DD374B">
        <w:t>2006a</w:t>
      </w:r>
      <w:proofErr w:type="spellEnd"/>
      <w:r w:rsidRPr="00DD374B">
        <w:t xml:space="preserve">). </w:t>
      </w:r>
    </w:p>
    <w:p w14:paraId="4FB059DD" w14:textId="77777777" w:rsidR="00730057" w:rsidRPr="00DD374B" w:rsidRDefault="00730057" w:rsidP="00730057">
      <w:pPr>
        <w:spacing w:line="360" w:lineRule="auto"/>
        <w:jc w:val="both"/>
      </w:pPr>
    </w:p>
    <w:p w14:paraId="3B744EA0"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Community differences among forest types</w:t>
      </w:r>
    </w:p>
    <w:p w14:paraId="77F913B5" w14:textId="77777777" w:rsidR="00730057" w:rsidRPr="00DD374B" w:rsidRDefault="00730057" w:rsidP="00730057">
      <w:pPr>
        <w:spacing w:line="360" w:lineRule="auto"/>
        <w:jc w:val="both"/>
      </w:pPr>
      <w:r w:rsidRPr="00DD374B">
        <w:t>Community composition differed significantly among forest types across all vegetation strata (Table 2). Tree assemblages exhibited modest but statistically significant separation (</w:t>
      </w:r>
      <w:proofErr w:type="spellStart"/>
      <w:r w:rsidRPr="00DD374B">
        <w:t>PERMANOVA</w:t>
      </w:r>
      <w:proofErr w:type="spellEnd"/>
      <w:r w:rsidRPr="00DD374B">
        <w:t xml:space="preserve"> </w:t>
      </w:r>
      <w:proofErr w:type="spellStart"/>
      <w:r w:rsidRPr="00DD374B">
        <w:t>R²</w:t>
      </w:r>
      <w:proofErr w:type="spellEnd"/>
      <w:r w:rsidRPr="00DD374B">
        <w:t xml:space="preserve"> = 0.031, F = 3.38, p = 0.001), with homogeneous dispersions (</w:t>
      </w:r>
      <w:proofErr w:type="spellStart"/>
      <w:r w:rsidRPr="00DD374B">
        <w:t>betadisper</w:t>
      </w:r>
      <w:proofErr w:type="spellEnd"/>
      <w:r w:rsidRPr="00DD374B">
        <w:t xml:space="preserve"> p = 0.291), indicating that group differences reflected centroid shifts rather than unequal within-group variability (Appendix </w:t>
      </w:r>
      <w:proofErr w:type="spellStart"/>
      <w:r w:rsidRPr="00DD374B">
        <w:t>S2</w:t>
      </w:r>
      <w:proofErr w:type="spellEnd"/>
      <w:r w:rsidRPr="00DD374B">
        <w:t>).</w:t>
      </w:r>
    </w:p>
    <w:p w14:paraId="297600D0" w14:textId="77777777" w:rsidR="00730057" w:rsidRPr="00DD374B" w:rsidRDefault="00730057" w:rsidP="00730057">
      <w:pPr>
        <w:spacing w:line="360" w:lineRule="auto"/>
        <w:jc w:val="both"/>
      </w:pPr>
      <w:r w:rsidRPr="00DD374B">
        <w:t>Shrub communities showed the strongest differentiation among forest types (</w:t>
      </w:r>
      <w:proofErr w:type="spellStart"/>
      <w:r w:rsidRPr="00DD374B">
        <w:t>R²</w:t>
      </w:r>
      <w:proofErr w:type="spellEnd"/>
      <w:r w:rsidRPr="00DD374B">
        <w:t xml:space="preserve"> = 0.050, F = 5.05, p = 0.001), although dispersions were heterogeneous (p = 0.001), suggesting that both location and spread contributed to observed differences. Herb and regeneration assemblages also differed significantly (</w:t>
      </w:r>
      <w:proofErr w:type="spellStart"/>
      <w:r w:rsidRPr="00DD374B">
        <w:t>R²</w:t>
      </w:r>
      <w:proofErr w:type="spellEnd"/>
      <w:r w:rsidRPr="00DD374B">
        <w:t xml:space="preserve"> = 0.017 and 0.021, respectively; both p = 0.001), but both strata exhibited heterogeneous dispersions (Table 2).</w:t>
      </w:r>
    </w:p>
    <w:p w14:paraId="2F0A015B" w14:textId="77777777" w:rsidR="00730057" w:rsidRPr="00DD374B" w:rsidRDefault="00730057" w:rsidP="00730057">
      <w:pPr>
        <w:spacing w:line="360" w:lineRule="auto"/>
        <w:jc w:val="both"/>
      </w:pPr>
      <w:r w:rsidRPr="00DD374B">
        <w:t>The greater sensitivity of shrub and herb layers relative to trees is consistent with reported altitudinal zonation and vegetation transitions in Himalayan forests (</w:t>
      </w:r>
      <w:proofErr w:type="spellStart"/>
      <w:r w:rsidRPr="00DD374B">
        <w:t>Wangda</w:t>
      </w:r>
      <w:proofErr w:type="spellEnd"/>
      <w:r w:rsidRPr="00DD374B">
        <w:t xml:space="preserve"> &amp; Ohsawa </w:t>
      </w:r>
      <w:proofErr w:type="spellStart"/>
      <w:r w:rsidRPr="00DD374B">
        <w:t>2006a</w:t>
      </w:r>
      <w:proofErr w:type="spellEnd"/>
      <w:r w:rsidRPr="00DD374B">
        <w:t xml:space="preserve">; Grierson &amp; Long 1983–2001). Because shrub and herb strata exhibited heterogeneous multivariate dispersions (Table 2; full outputs in Appendix </w:t>
      </w:r>
      <w:proofErr w:type="spellStart"/>
      <w:r w:rsidRPr="00DD374B">
        <w:t>S2</w:t>
      </w:r>
      <w:proofErr w:type="spellEnd"/>
      <w:r w:rsidRPr="00DD374B">
        <w:t xml:space="preserve">), significant </w:t>
      </w:r>
      <w:proofErr w:type="spellStart"/>
      <w:r w:rsidRPr="00DD374B">
        <w:t>PERMANOVA</w:t>
      </w:r>
      <w:proofErr w:type="spellEnd"/>
      <w:r w:rsidRPr="00DD374B">
        <w:t xml:space="preserve"> results in these layers likely reflect a combination of centroid shifts and differences in within-group variability. In contrast, homogeneous dispersions for trees and regeneration indicate that compositional differences among forest types in these strata primarily represent shifts in group centroids.</w:t>
      </w:r>
    </w:p>
    <w:p w14:paraId="2DE2D913"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Species–environment relationships</w:t>
      </w:r>
    </w:p>
    <w:p w14:paraId="72AE7FA5" w14:textId="77777777" w:rsidR="00730057" w:rsidRPr="00DD374B" w:rsidRDefault="00730057" w:rsidP="00730057">
      <w:pPr>
        <w:spacing w:line="360" w:lineRule="auto"/>
        <w:jc w:val="both"/>
      </w:pPr>
      <w:r w:rsidRPr="00DD374B">
        <w:t xml:space="preserve">Canonical correspondence analysis revealed that selected environmental variables—aspect, evapotranspiration, latitude, longitude and slope—explained a small but statistically significant fraction of floristic variation in trees (3.2%, p = 0.008) and shrubs (3.8%, p = 0.001; Table 3; Figure 4). For herbs and regeneration, constrained models explained similar proportions of inertia (3.4%) but were not significant at α = 0.05 (p = 0.125 and 0.076, respectively) (Appendix </w:t>
      </w:r>
      <w:proofErr w:type="spellStart"/>
      <w:r w:rsidRPr="00DD374B">
        <w:t>S9</w:t>
      </w:r>
      <w:proofErr w:type="spellEnd"/>
      <w:r w:rsidRPr="00DD374B">
        <w:t>).</w:t>
      </w:r>
    </w:p>
    <w:p w14:paraId="2B63E3AA" w14:textId="77777777" w:rsidR="00730057" w:rsidRPr="00DD374B" w:rsidRDefault="00730057" w:rsidP="00730057">
      <w:pPr>
        <w:spacing w:line="360" w:lineRule="auto"/>
        <w:jc w:val="both"/>
      </w:pPr>
      <w:proofErr w:type="spellStart"/>
      <w:r w:rsidRPr="00DD374B">
        <w:t>CCA</w:t>
      </w:r>
      <w:proofErr w:type="spellEnd"/>
      <w:r w:rsidRPr="00DD374B">
        <w:t xml:space="preserve"> biplots illustrated contrasting environmental controls among strata (Figure 4). Tree communities aligned primarily with slope and aspect gradients, shrub assemblages were most </w:t>
      </w:r>
      <w:r w:rsidRPr="00DD374B">
        <w:lastRenderedPageBreak/>
        <w:t>strongly oriented toward evapotranspiration and latitudinal position, while herbaceous vegetation responded to combined slope–climate axes. Regeneration patterns were structured along gradients of evapotranspiration and aspect, suggesting climatically mediated recruitment filters.</w:t>
      </w:r>
    </w:p>
    <w:p w14:paraId="3221BB03" w14:textId="77777777" w:rsidR="00730057" w:rsidRPr="00DD374B" w:rsidRDefault="00730057" w:rsidP="00730057">
      <w:pPr>
        <w:spacing w:line="360" w:lineRule="auto"/>
        <w:jc w:val="both"/>
      </w:pPr>
      <w:r w:rsidRPr="00DD374B">
        <w:t>The low proportion of constrained inertia across all strata suggests strong local heterogeneity operating within broader altitudinal transitions reported for Bhutanese dry valleys (</w:t>
      </w:r>
      <w:proofErr w:type="spellStart"/>
      <w:r w:rsidRPr="00DD374B">
        <w:t>Wangda</w:t>
      </w:r>
      <w:proofErr w:type="spellEnd"/>
      <w:r w:rsidRPr="00DD374B">
        <w:t xml:space="preserve"> &amp; Ohsawa </w:t>
      </w:r>
      <w:proofErr w:type="spellStart"/>
      <w:r w:rsidRPr="00DD374B">
        <w:t>2006a</w:t>
      </w:r>
      <w:proofErr w:type="spellEnd"/>
      <w:r w:rsidRPr="00DD374B">
        <w:t xml:space="preserve">). </w:t>
      </w:r>
    </w:p>
    <w:p w14:paraId="53103C27"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Diversity patterns</w:t>
      </w:r>
    </w:p>
    <w:p w14:paraId="30E08ABF" w14:textId="77777777" w:rsidR="00730057" w:rsidRPr="00DD374B" w:rsidRDefault="00730057" w:rsidP="00730057">
      <w:pPr>
        <w:spacing w:line="360" w:lineRule="auto"/>
        <w:jc w:val="both"/>
      </w:pPr>
      <w:r w:rsidRPr="00DD374B">
        <w:t xml:space="preserve">Alpha diversity differed markedly among vegetation strata (Table 4; Figure 2). Trees exhibited the highest mean species richness (5.30 ± 2.57 species per plot) and Shannon diversity (1.391 ± 0.595), followed by shrubs (richness = 4.77 ± 3.43; Shannon = 1.063 ± 0.706), regeneration (richness = 2.00 ± 1.26; Shannon = 0.443 ± 0.499) and herbs (richness = 1.79 ± 1.32; Shannon = 0.325 ± 0.451). </w:t>
      </w:r>
      <w:proofErr w:type="spellStart"/>
      <w:r w:rsidRPr="00DD374B">
        <w:t>Pielou’s</w:t>
      </w:r>
      <w:proofErr w:type="spellEnd"/>
      <w:r w:rsidRPr="00DD374B">
        <w:t xml:space="preserve"> evenness was highest for trees (0.903) and lowest for herbs (0.804).</w:t>
      </w:r>
    </w:p>
    <w:p w14:paraId="31378E6A" w14:textId="77777777" w:rsidR="00730057" w:rsidRPr="00DD374B" w:rsidRDefault="00730057" w:rsidP="00730057">
      <w:pPr>
        <w:spacing w:line="360" w:lineRule="auto"/>
        <w:jc w:val="both"/>
      </w:pPr>
      <w:r w:rsidRPr="00DD374B">
        <w:t>Species accumulation curves approached asymptotes most rapidly for shrubs and regeneration, whereas trees and herbs continued to increase steadily with sampling effort, indicating incomplete saturation of the regional species pool in these strata (Figure 3). Such patterns are consistent with documented altitudinal zonation of Bhutanese dry-valley forests and reported regeneration dynamics of dominant trees (</w:t>
      </w:r>
      <w:proofErr w:type="spellStart"/>
      <w:r w:rsidRPr="00DD374B">
        <w:t>Wangda</w:t>
      </w:r>
      <w:proofErr w:type="spellEnd"/>
      <w:r w:rsidRPr="00DD374B">
        <w:t xml:space="preserve"> &amp; Ohsawa </w:t>
      </w:r>
      <w:proofErr w:type="spellStart"/>
      <w:r w:rsidRPr="00DD374B">
        <w:t>2006a</w:t>
      </w:r>
      <w:proofErr w:type="spellEnd"/>
      <w:r w:rsidRPr="00DD374B">
        <w:t xml:space="preserve">, </w:t>
      </w:r>
      <w:proofErr w:type="spellStart"/>
      <w:r w:rsidRPr="00DD374B">
        <w:t>2006b</w:t>
      </w:r>
      <w:proofErr w:type="spellEnd"/>
      <w:r w:rsidRPr="00DD374B">
        <w:t xml:space="preserve">). Continued species accumulation in tree and herb strata suggests that additional sampling would likely yield further taxa, particularly rare canopy species and ephemeral </w:t>
      </w:r>
      <w:proofErr w:type="spellStart"/>
      <w:r w:rsidRPr="00DD374B">
        <w:t>understorey</w:t>
      </w:r>
      <w:proofErr w:type="spellEnd"/>
      <w:r w:rsidRPr="00DD374B">
        <w:t xml:space="preserve"> herbs, indicating exceptionally high regional diversity along the gradient.</w:t>
      </w:r>
    </w:p>
    <w:p w14:paraId="3B5F47DC" w14:textId="77777777" w:rsidR="00730057" w:rsidRPr="00DD374B" w:rsidRDefault="00730057" w:rsidP="00730057">
      <w:pPr>
        <w:spacing w:line="360" w:lineRule="auto"/>
        <w:jc w:val="both"/>
      </w:pPr>
      <w:r w:rsidRPr="00DD374B">
        <w:t xml:space="preserve">Species richness varied along the elevational gradient for all strata (Figure 6). Shrubs displayed a unimodal mid-elevation peak, whereas trees showed comparatively stable richness across the sampled range, and herbs and regeneration exhibited weaker, irregular trends. These responses align with Himalayan studies reporting mid-elevation richness peaks and altitudinal zonation in woody layers (Acharya et al. 2011; </w:t>
      </w:r>
      <w:proofErr w:type="spellStart"/>
      <w:r w:rsidRPr="00DD374B">
        <w:t>Grytnes</w:t>
      </w:r>
      <w:proofErr w:type="spellEnd"/>
      <w:r w:rsidRPr="00DD374B">
        <w:t xml:space="preserve"> &amp; </w:t>
      </w:r>
      <w:proofErr w:type="spellStart"/>
      <w:r w:rsidRPr="00DD374B">
        <w:t>Vetaas</w:t>
      </w:r>
      <w:proofErr w:type="spellEnd"/>
      <w:r w:rsidRPr="00DD374B">
        <w:t xml:space="preserve"> 2002; </w:t>
      </w:r>
      <w:proofErr w:type="spellStart"/>
      <w:r w:rsidRPr="00DD374B">
        <w:t>Wangda</w:t>
      </w:r>
      <w:proofErr w:type="spellEnd"/>
      <w:r w:rsidRPr="00DD374B">
        <w:t xml:space="preserve"> &amp; Ohsawa </w:t>
      </w:r>
      <w:proofErr w:type="spellStart"/>
      <w:r w:rsidRPr="00DD374B">
        <w:t>2006a</w:t>
      </w:r>
      <w:proofErr w:type="spellEnd"/>
      <w:r w:rsidRPr="00DD374B">
        <w:t>).</w:t>
      </w:r>
    </w:p>
    <w:p w14:paraId="5154841C" w14:textId="77777777" w:rsidR="00730057" w:rsidRPr="00DD374B" w:rsidRDefault="00730057" w:rsidP="00730057">
      <w:pPr>
        <w:spacing w:line="360" w:lineRule="auto"/>
        <w:jc w:val="both"/>
      </w:pPr>
      <w:r w:rsidRPr="00DD374B">
        <w:t>Beta diversity (Whittaker’s β) was highest for herbs (75.04), followed by regeneration (54.63), trees (41.86) and shrubs (23.89), indicating pronounced species turnover in the herb layer relative to the regional species pool.</w:t>
      </w:r>
    </w:p>
    <w:p w14:paraId="325D0110"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Indicator species</w:t>
      </w:r>
    </w:p>
    <w:p w14:paraId="34FE82F4" w14:textId="77777777" w:rsidR="00730057" w:rsidRPr="00DD374B" w:rsidRDefault="00730057" w:rsidP="00730057">
      <w:pPr>
        <w:spacing w:line="360" w:lineRule="auto"/>
        <w:jc w:val="both"/>
      </w:pPr>
      <w:r w:rsidRPr="00DD374B">
        <w:t xml:space="preserve">Indicator-species analysis detected significant associations with elevational classes across all strata (Table 5). Shrubs contained the largest proportion of indicator taxa (15 of 101 species; 14.9%), </w:t>
      </w:r>
      <w:r w:rsidRPr="00DD374B">
        <w:lastRenderedPageBreak/>
        <w:t xml:space="preserve">followed by herbs (10 of 134; 7.5%), regeneration (8 of 109; 7.3%) and trees (10 of 221; 4.5%) (Appendix </w:t>
      </w:r>
      <w:proofErr w:type="spellStart"/>
      <w:r w:rsidRPr="00DD374B">
        <w:t>S4</w:t>
      </w:r>
      <w:proofErr w:type="spellEnd"/>
      <w:r w:rsidRPr="00DD374B">
        <w:t xml:space="preserve">). </w:t>
      </w:r>
    </w:p>
    <w:p w14:paraId="22F290B3" w14:textId="77777777" w:rsidR="00730057" w:rsidRPr="00DD374B" w:rsidRDefault="00730057" w:rsidP="00730057">
      <w:pPr>
        <w:spacing w:line="360" w:lineRule="auto"/>
        <w:jc w:val="both"/>
      </w:pPr>
      <w:r w:rsidRPr="00DD374B">
        <w:t xml:space="preserve">Among canopy trees, Schima </w:t>
      </w:r>
      <w:proofErr w:type="spellStart"/>
      <w:r w:rsidRPr="00DD374B">
        <w:t>wallichii</w:t>
      </w:r>
      <w:proofErr w:type="spellEnd"/>
      <w:r w:rsidRPr="00DD374B">
        <w:t xml:space="preserve"> and Castanopsis indica were characteristic of low- to mid-elevation forests, whereas Alnus </w:t>
      </w:r>
      <w:proofErr w:type="spellStart"/>
      <w:r w:rsidRPr="00DD374B">
        <w:t>nepalensis</w:t>
      </w:r>
      <w:proofErr w:type="spellEnd"/>
      <w:r w:rsidRPr="00DD374B">
        <w:t xml:space="preserve"> was associated with higher elevations. These patterns accord with floristic zonation documented in Bhutanese mountain forests, where evergreen broadleaved species dominate lower belts and pioneer or cool-adapted taxa become more frequent upslope (</w:t>
      </w:r>
      <w:proofErr w:type="spellStart"/>
      <w:r w:rsidRPr="00DD374B">
        <w:t>Wangda</w:t>
      </w:r>
      <w:proofErr w:type="spellEnd"/>
      <w:r w:rsidRPr="00DD374B">
        <w:t xml:space="preserve"> &amp; Ohsawa </w:t>
      </w:r>
      <w:proofErr w:type="spellStart"/>
      <w:r w:rsidRPr="00DD374B">
        <w:t>2006a</w:t>
      </w:r>
      <w:proofErr w:type="spellEnd"/>
      <w:r w:rsidRPr="00DD374B">
        <w:t>; Grierson &amp; Long (1983–2001).</w:t>
      </w:r>
    </w:p>
    <w:p w14:paraId="4EA5F67F"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Regeneration Modelling</w:t>
      </w:r>
    </w:p>
    <w:p w14:paraId="4FEE4D50" w14:textId="77777777" w:rsidR="00730057" w:rsidRPr="00DD374B" w:rsidRDefault="00730057" w:rsidP="00730057">
      <w:pPr>
        <w:spacing w:line="360" w:lineRule="auto"/>
        <w:jc w:val="both"/>
      </w:pPr>
      <w:r w:rsidRPr="00DD374B">
        <w:t>Random forest models outperformed gradient boosting models for predicting regeneration richness (Table 6; Figure 5). Random forest achieved a modest but positive cross-validated coefficient of determination (</w:t>
      </w:r>
      <w:proofErr w:type="spellStart"/>
      <w:r w:rsidRPr="00DD374B">
        <w:t>R²</w:t>
      </w:r>
      <w:proofErr w:type="spellEnd"/>
      <w:r w:rsidRPr="00DD374B">
        <w:t xml:space="preserve"> = 0.142 ± 0.040) with a root mean square error of 1.165 ± 0.182, whereas gradient boosting showed negative explanatory power (</w:t>
      </w:r>
      <w:proofErr w:type="spellStart"/>
      <w:r w:rsidRPr="00DD374B">
        <w:t>R²</w:t>
      </w:r>
      <w:proofErr w:type="spellEnd"/>
      <w:r w:rsidRPr="00DD374B">
        <w:t xml:space="preserve"> = −0.009 ± 0.096) and higher prediction error (</w:t>
      </w:r>
      <w:proofErr w:type="spellStart"/>
      <w:r w:rsidRPr="00DD374B">
        <w:t>RMSE</w:t>
      </w:r>
      <w:proofErr w:type="spellEnd"/>
      <w:r w:rsidRPr="00DD374B">
        <w:t xml:space="preserve"> = 1.261 ± 0.192) (Appendix </w:t>
      </w:r>
      <w:proofErr w:type="spellStart"/>
      <w:r w:rsidRPr="00DD374B">
        <w:t>S5</w:t>
      </w:r>
      <w:proofErr w:type="spellEnd"/>
      <w:r w:rsidRPr="00DD374B">
        <w:t>)</w:t>
      </w:r>
    </w:p>
    <w:p w14:paraId="0418D47A" w14:textId="77777777" w:rsidR="00730057" w:rsidRPr="00DD374B" w:rsidRDefault="00730057" w:rsidP="00730057">
      <w:pPr>
        <w:spacing w:line="360" w:lineRule="auto"/>
        <w:jc w:val="both"/>
      </w:pPr>
      <w:r w:rsidRPr="00DD374B">
        <w:t xml:space="preserve">Variable-importance rankings from the random forest model indicated that shrub-layer attributes, particularly Shannon diversity and species richness, were the strongest predictors of regeneration richness, followed by temperature, elevation and evapotranspiration (Figure 5). Spatial coordinates and terrain aspect contributed comparatively little explanatory power ( Appendix </w:t>
      </w:r>
      <w:proofErr w:type="spellStart"/>
      <w:r w:rsidRPr="00DD374B">
        <w:t>S6</w:t>
      </w:r>
      <w:proofErr w:type="spellEnd"/>
      <w:r w:rsidRPr="00DD374B">
        <w:t>).</w:t>
      </w:r>
    </w:p>
    <w:p w14:paraId="479BFAB3" w14:textId="77777777" w:rsidR="00730057" w:rsidRPr="00DD374B" w:rsidRDefault="00730057" w:rsidP="00730057">
      <w:pPr>
        <w:spacing w:line="360" w:lineRule="auto"/>
        <w:jc w:val="both"/>
      </w:pPr>
      <w:r w:rsidRPr="00DD374B">
        <w:t xml:space="preserve">The dominance of shrub-layer structure and climate-related variables suggests that microsite filtering and competitive or facilitative interactions in the </w:t>
      </w:r>
      <w:proofErr w:type="spellStart"/>
      <w:r w:rsidRPr="00DD374B">
        <w:t>understorey</w:t>
      </w:r>
      <w:proofErr w:type="spellEnd"/>
      <w:r w:rsidRPr="00DD374B">
        <w:t xml:space="preserve"> exert stronger controls on recruitment than coarse spatial position alone. Similar links between regeneration and local stand structure have been reported for Bhutanese montane forests across elevational gradients (</w:t>
      </w:r>
      <w:proofErr w:type="spellStart"/>
      <w:r w:rsidRPr="00DD374B">
        <w:t>Wangda</w:t>
      </w:r>
      <w:proofErr w:type="spellEnd"/>
      <w:r w:rsidRPr="00DD374B">
        <w:t xml:space="preserve"> &amp; Ohsawa </w:t>
      </w:r>
      <w:proofErr w:type="spellStart"/>
      <w:r w:rsidRPr="00DD374B">
        <w:t>2006b</w:t>
      </w:r>
      <w:proofErr w:type="spellEnd"/>
      <w:r w:rsidRPr="00DD374B">
        <w:t>), although few published studies have applied machine-learning approaches to regeneration dynamics within Bhutan.</w:t>
      </w:r>
    </w:p>
    <w:p w14:paraId="45ED8F93" w14:textId="77777777" w:rsidR="00730057" w:rsidRPr="00DD374B" w:rsidRDefault="00730057" w:rsidP="00730057">
      <w:pPr>
        <w:spacing w:line="360" w:lineRule="auto"/>
        <w:jc w:val="both"/>
      </w:pPr>
      <w:r w:rsidRPr="00DD374B">
        <w:t>The relatively low explanatory power of all models indicates that important drivers—such as canopy openness, disturbance history, soil properties or fine-scale moisture regimes—were not fully captured by the available predictors, a common limitation in forest-regeneration modelling in complex mountain terrain (Elith et al. 2008).</w:t>
      </w:r>
    </w:p>
    <w:p w14:paraId="45A9DF7B" w14:textId="77777777" w:rsidR="00730057" w:rsidRPr="00DD374B" w:rsidRDefault="00730057" w:rsidP="00730057">
      <w:pPr>
        <w:pStyle w:val="Heading1"/>
        <w:rPr>
          <w:rFonts w:ascii="Times New Roman" w:hAnsi="Times New Roman" w:cs="Times New Roman"/>
        </w:rPr>
      </w:pPr>
      <w:r w:rsidRPr="00DD374B">
        <w:rPr>
          <w:rFonts w:ascii="Times New Roman" w:hAnsi="Times New Roman" w:cs="Times New Roman"/>
        </w:rPr>
        <w:t>DISCUSSION</w:t>
      </w:r>
    </w:p>
    <w:p w14:paraId="20EF4CCC"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 xml:space="preserve">Stratified community turnover along elevational gradients. </w:t>
      </w:r>
    </w:p>
    <w:p w14:paraId="17620328" w14:textId="77777777" w:rsidR="00730057" w:rsidRPr="00DD374B" w:rsidRDefault="00730057" w:rsidP="00730057">
      <w:pPr>
        <w:pStyle w:val="FirstParagraph"/>
        <w:spacing w:before="0" w:after="0" w:line="360" w:lineRule="auto"/>
        <w:jc w:val="both"/>
        <w:rPr>
          <w:rFonts w:ascii="Times New Roman" w:hAnsi="Times New Roman" w:cs="Times New Roman"/>
        </w:rPr>
      </w:pPr>
      <w:r w:rsidRPr="00DD374B">
        <w:rPr>
          <w:rFonts w:ascii="Times New Roman" w:hAnsi="Times New Roman" w:cs="Times New Roman"/>
        </w:rPr>
        <w:t xml:space="preserve">Our analyses revealed pronounced vertical stratification in community turnover, with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assemblages (shrubs and herbs) responding more strongly to forest-type and elevational gradients </w:t>
      </w:r>
      <w:r w:rsidRPr="00DD374B">
        <w:rPr>
          <w:rFonts w:ascii="Times New Roman" w:hAnsi="Times New Roman" w:cs="Times New Roman"/>
        </w:rPr>
        <w:lastRenderedPageBreak/>
        <w:t xml:space="preserve">than canopy trees. This pattern mirrors observations from other Himalayan forests where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communities closely track microclimatic and edaphic variability, whereas long-lived canopy trees integrate conditions over broader temporal and spatial scales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w:t>
      </w:r>
      <w:proofErr w:type="spellStart"/>
      <w:r w:rsidRPr="00DD374B">
        <w:rPr>
          <w:rFonts w:ascii="Times New Roman" w:hAnsi="Times New Roman" w:cs="Times New Roman"/>
        </w:rPr>
        <w:t>Grytnes</w:t>
      </w:r>
      <w:proofErr w:type="spellEnd"/>
      <w:r w:rsidRPr="00DD374B">
        <w:rPr>
          <w:rFonts w:ascii="Times New Roman" w:hAnsi="Times New Roman" w:cs="Times New Roman"/>
        </w:rPr>
        <w:t xml:space="preserve"> &amp; </w:t>
      </w:r>
      <w:proofErr w:type="spellStart"/>
      <w:r w:rsidRPr="00DD374B">
        <w:rPr>
          <w:rFonts w:ascii="Times New Roman" w:hAnsi="Times New Roman" w:cs="Times New Roman"/>
        </w:rPr>
        <w:t>Vetaas</w:t>
      </w:r>
      <w:proofErr w:type="spellEnd"/>
      <w:r w:rsidRPr="00DD374B">
        <w:rPr>
          <w:rFonts w:ascii="Times New Roman" w:hAnsi="Times New Roman" w:cs="Times New Roman"/>
        </w:rPr>
        <w:t xml:space="preserve"> 2002). In Bhutan, for instance,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found steep elevational turnover in shrub and herb layers across broadleaved forests while canopy composition remained comparatively stable, consistent with the compressed tree NMDS configuration observed here. Significant </w:t>
      </w:r>
      <w:proofErr w:type="spellStart"/>
      <w:r w:rsidRPr="00DD374B">
        <w:rPr>
          <w:rFonts w:ascii="Times New Roman" w:hAnsi="Times New Roman" w:cs="Times New Roman"/>
        </w:rPr>
        <w:t>PERMANOVA</w:t>
      </w:r>
      <w:proofErr w:type="spellEnd"/>
      <w:r w:rsidRPr="00DD374B">
        <w:rPr>
          <w:rFonts w:ascii="Times New Roman" w:hAnsi="Times New Roman" w:cs="Times New Roman"/>
        </w:rPr>
        <w:t xml:space="preserve"> results across all strata confirm that forest type imposes a consistent compositional filter along the gradient, even when effect sizes are small. In our data, forest type explained only about 1.7–5.0% of the variation in species composition (</w:t>
      </w:r>
      <w:proofErr w:type="spellStart"/>
      <w:r w:rsidRPr="00DD374B">
        <w:rPr>
          <w:rFonts w:ascii="Times New Roman" w:hAnsi="Times New Roman" w:cs="Times New Roman"/>
        </w:rPr>
        <w:t>R²</w:t>
      </w:r>
      <w:proofErr w:type="spellEnd"/>
      <w:r w:rsidRPr="00DD374B">
        <w:rPr>
          <w:rFonts w:ascii="Times New Roman" w:hAnsi="Times New Roman" w:cs="Times New Roman"/>
        </w:rPr>
        <w:t xml:space="preserve"> = 0.017–0.050, p = 0.001). Although modest, such values indicate non-random differences given the extremely high beta diversity in these forests. Similar Himalayan studies likewise report significant yet low </w:t>
      </w:r>
      <w:proofErr w:type="spellStart"/>
      <w:r w:rsidRPr="00DD374B">
        <w:rPr>
          <w:rFonts w:ascii="Times New Roman" w:hAnsi="Times New Roman" w:cs="Times New Roman"/>
        </w:rPr>
        <w:t>R²</w:t>
      </w:r>
      <w:proofErr w:type="spellEnd"/>
      <w:r w:rsidRPr="00DD374B">
        <w:rPr>
          <w:rFonts w:ascii="Times New Roman" w:hAnsi="Times New Roman" w:cs="Times New Roman"/>
        </w:rPr>
        <w:t xml:space="preserve"> values, reflecting the overwhelming influence of fine-scale heterogeneity and dispersal in montane communities (Acharya et al. 2011; Carpenter 2005). In our plots, shrubs and herbs showed greater between-plot dispersion than trees, likely due to patchy responses to slope position, moisture pockets, and disturbance legacies that vary sharply across Bhutan’s rugged terrain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By contrast, tree assemblages were more homogenously dispersed, suggesting that forest-type differentiation in the canopy involves shifts in community centroids (dominant species) rather than broad increases in within-type variation. Such a pattern – subtle but consistent compositional shifts in overstorey vs. more erratic, microhabitat-driven changes in the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 is consistent with montane forests across the Himalaya, where overstorey composition is constrained by broad climatic envelopes while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communities respond flexibly to local topography and disturbance (Ohsawa 1995; </w:t>
      </w:r>
      <w:proofErr w:type="spellStart"/>
      <w:r w:rsidRPr="00DD374B">
        <w:rPr>
          <w:rFonts w:ascii="Times New Roman" w:hAnsi="Times New Roman" w:cs="Times New Roman"/>
        </w:rPr>
        <w:t>Grytnes</w:t>
      </w:r>
      <w:proofErr w:type="spellEnd"/>
      <w:r w:rsidRPr="00DD374B">
        <w:rPr>
          <w:rFonts w:ascii="Times New Roman" w:hAnsi="Times New Roman" w:cs="Times New Roman"/>
        </w:rPr>
        <w:t xml:space="preserve"> &amp; </w:t>
      </w:r>
      <w:proofErr w:type="spellStart"/>
      <w:r w:rsidRPr="00DD374B">
        <w:rPr>
          <w:rFonts w:ascii="Times New Roman" w:hAnsi="Times New Roman" w:cs="Times New Roman"/>
        </w:rPr>
        <w:t>Vetaas</w:t>
      </w:r>
      <w:proofErr w:type="spellEnd"/>
      <w:r w:rsidRPr="00DD374B">
        <w:rPr>
          <w:rFonts w:ascii="Times New Roman" w:hAnsi="Times New Roman" w:cs="Times New Roman"/>
        </w:rPr>
        <w:t xml:space="preserve"> 2002).</w:t>
      </w:r>
    </w:p>
    <w:p w14:paraId="261FCF3A"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 xml:space="preserve">Environmental drivers and scale of control. </w:t>
      </w:r>
    </w:p>
    <w:p w14:paraId="2D5DB8AA" w14:textId="77777777" w:rsidR="00730057" w:rsidRPr="00DD374B" w:rsidRDefault="00730057" w:rsidP="00730057">
      <w:pPr>
        <w:pStyle w:val="BodyText"/>
        <w:spacing w:before="0" w:after="0" w:line="360" w:lineRule="auto"/>
        <w:jc w:val="both"/>
        <w:rPr>
          <w:rFonts w:ascii="Times New Roman" w:hAnsi="Times New Roman" w:cs="Times New Roman"/>
        </w:rPr>
      </w:pPr>
      <w:r w:rsidRPr="00DD374B">
        <w:rPr>
          <w:rFonts w:ascii="Times New Roman" w:hAnsi="Times New Roman" w:cs="Times New Roman"/>
        </w:rPr>
        <w:t>Direct gradient analyses (</w:t>
      </w:r>
      <w:proofErr w:type="spellStart"/>
      <w:r w:rsidRPr="00DD374B">
        <w:rPr>
          <w:rFonts w:ascii="Times New Roman" w:hAnsi="Times New Roman" w:cs="Times New Roman"/>
        </w:rPr>
        <w:t>CCA</w:t>
      </w:r>
      <w:proofErr w:type="spellEnd"/>
      <w:r w:rsidRPr="00DD374B">
        <w:rPr>
          <w:rFonts w:ascii="Times New Roman" w:hAnsi="Times New Roman" w:cs="Times New Roman"/>
        </w:rPr>
        <w:t>) showed that aspect, slope, evapotranspiration, and spatial position together explained only a small fraction of floristic variation (≈3–4% for trees and shrubs), even where correlations were statistically significant. Such low constrained inertia is common in steep mountain systems, where unmeasured microtopographic factors – canopy gaps, soil depth, fine-scale moisture, and disturbance history – often dominate local community assembly, overwhelming the effects of macroclimatic gradients (</w:t>
      </w:r>
      <w:proofErr w:type="spellStart"/>
      <w:r w:rsidRPr="00DD374B">
        <w:rPr>
          <w:rFonts w:ascii="Times New Roman" w:hAnsi="Times New Roman" w:cs="Times New Roman"/>
        </w:rPr>
        <w:t>Grytnes</w:t>
      </w:r>
      <w:proofErr w:type="spellEnd"/>
      <w:r w:rsidRPr="00DD374B">
        <w:rPr>
          <w:rFonts w:ascii="Times New Roman" w:hAnsi="Times New Roman" w:cs="Times New Roman"/>
        </w:rPr>
        <w:t xml:space="preserve"> &amp; </w:t>
      </w:r>
      <w:proofErr w:type="spellStart"/>
      <w:r w:rsidRPr="00DD374B">
        <w:rPr>
          <w:rFonts w:ascii="Times New Roman" w:hAnsi="Times New Roman" w:cs="Times New Roman"/>
        </w:rPr>
        <w:t>Vetaas</w:t>
      </w:r>
      <w:proofErr w:type="spellEnd"/>
      <w:r w:rsidRPr="00DD374B">
        <w:rPr>
          <w:rFonts w:ascii="Times New Roman" w:hAnsi="Times New Roman" w:cs="Times New Roman"/>
        </w:rPr>
        <w:t xml:space="preserve"> 2002;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Bhutanese forests in particular are characterized by abrupt changes in slope, exposure, and substrate over tens of meters, producing high species turnover within the nominal elevational belts </w:t>
      </w:r>
      <w:r w:rsidRPr="00DD374B">
        <w:rPr>
          <w:rFonts w:ascii="Times New Roman" w:hAnsi="Times New Roman" w:cs="Times New Roman"/>
        </w:rPr>
        <w:lastRenderedPageBreak/>
        <w:t xml:space="preserve">(Grierson &amp; Long 1983–2001;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The contrasting environmental orientations of different strata in our study reinforce this interpretation. Tree communities aligned primarily with slope and aspect, consistent with long-term geomorphic controls on soil stability and moisture availability. In contrast, shrubs and the regeneration layer were more strongly associated with factors like evapotranspiration and latitude (northing), suggesting that early life stages are especially sensitive to thermal and water-balance constraints. Herbaceous assemblages responded to a combination of slope and climate axes, reflecting their rapid turnover and strong coupling to idiosyncratic microsite conditions. Such decoupling between canopy and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responses has also been reported in other Himalayan gradients, where herb-layer distributions can be driven by localized canopy openings and moisture pockets rather than elevation per se (</w:t>
      </w:r>
      <w:proofErr w:type="spellStart"/>
      <w:r w:rsidRPr="00DD374B">
        <w:rPr>
          <w:rFonts w:ascii="Times New Roman" w:hAnsi="Times New Roman" w:cs="Times New Roman"/>
        </w:rPr>
        <w:t>Grytnes</w:t>
      </w:r>
      <w:proofErr w:type="spellEnd"/>
      <w:r w:rsidRPr="00DD374B">
        <w:rPr>
          <w:rFonts w:ascii="Times New Roman" w:hAnsi="Times New Roman" w:cs="Times New Roman"/>
        </w:rPr>
        <w:t xml:space="preserve"> &amp; </w:t>
      </w:r>
      <w:proofErr w:type="spellStart"/>
      <w:r w:rsidRPr="00DD374B">
        <w:rPr>
          <w:rFonts w:ascii="Times New Roman" w:hAnsi="Times New Roman" w:cs="Times New Roman"/>
        </w:rPr>
        <w:t>Vetaas</w:t>
      </w:r>
      <w:proofErr w:type="spellEnd"/>
      <w:r w:rsidRPr="00DD374B">
        <w:rPr>
          <w:rFonts w:ascii="Times New Roman" w:hAnsi="Times New Roman" w:cs="Times New Roman"/>
        </w:rPr>
        <w:t xml:space="preserve"> 2002). Overall, our results underscore that broad macro-environmental gradients exert relatively weak control on community composition in these montane forests compared to the dominant influence of fine-scale habitat heterogeneity.</w:t>
      </w:r>
    </w:p>
    <w:p w14:paraId="7F822E5E"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Diversity patterns and beta-diversity.</w:t>
      </w:r>
    </w:p>
    <w:p w14:paraId="4039B978" w14:textId="77777777" w:rsidR="00730057" w:rsidRPr="00DD374B" w:rsidRDefault="00730057" w:rsidP="00730057">
      <w:pPr>
        <w:pStyle w:val="BodyText"/>
        <w:spacing w:before="0" w:after="0" w:line="360" w:lineRule="auto"/>
        <w:jc w:val="both"/>
        <w:rPr>
          <w:rFonts w:ascii="Times New Roman" w:hAnsi="Times New Roman" w:cs="Times New Roman"/>
        </w:rPr>
      </w:pPr>
      <w:r w:rsidRPr="00DD374B">
        <w:rPr>
          <w:rFonts w:ascii="Times New Roman" w:hAnsi="Times New Roman" w:cs="Times New Roman"/>
        </w:rPr>
        <w:t xml:space="preserve"> Marked differences in alpha diversity among strata further highlight the vertically structured nature of Himalayan broadleaved forests. Tree layers in our study maintained high species richness and evenness across the gradient, reflecting the coexistence of multiple canopy dominants in these unmanaged stands – a feature repeatedly documented in Bhutan’s warm and cool broadleaved forests (Grierson &amp; Long 1983–2001;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Shrub richness peaked at mid-elevations, consistent with many Himalayan studies that find unimodal diversity curves in the woody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around intermediate altitudes where moisture, temperature, and structural complexity are jointly optimized (</w:t>
      </w:r>
      <w:proofErr w:type="spellStart"/>
      <w:r w:rsidRPr="00DD374B">
        <w:rPr>
          <w:rFonts w:ascii="Times New Roman" w:hAnsi="Times New Roman" w:cs="Times New Roman"/>
        </w:rPr>
        <w:t>Grytnes</w:t>
      </w:r>
      <w:proofErr w:type="spellEnd"/>
      <w:r w:rsidRPr="00DD374B">
        <w:rPr>
          <w:rFonts w:ascii="Times New Roman" w:hAnsi="Times New Roman" w:cs="Times New Roman"/>
        </w:rPr>
        <w:t xml:space="preserve"> &amp; </w:t>
      </w:r>
      <w:proofErr w:type="spellStart"/>
      <w:r w:rsidRPr="00DD374B">
        <w:rPr>
          <w:rFonts w:ascii="Times New Roman" w:hAnsi="Times New Roman" w:cs="Times New Roman"/>
        </w:rPr>
        <w:t>Vetaas</w:t>
      </w:r>
      <w:proofErr w:type="spellEnd"/>
      <w:r w:rsidRPr="00DD374B">
        <w:rPr>
          <w:rFonts w:ascii="Times New Roman" w:hAnsi="Times New Roman" w:cs="Times New Roman"/>
        </w:rPr>
        <w:t xml:space="preserve"> 2002). By contrast, herbs and regeneration showed weak or irregular elevational trends in richness, coupled with exceptionally high beta diversity in the herb layer. This implies small-scale environmental mosaics, rather than any smooth elevational forcing, structure ground-layer communities. Indeed, high herb-layer beta diversity is widely reported in Himalayan forests and alpine systems, where aspect, litter depth, and gap dynamics generate sharp species turnover over very short distances (</w:t>
      </w:r>
      <w:proofErr w:type="spellStart"/>
      <w:r w:rsidRPr="00DD374B">
        <w:rPr>
          <w:rFonts w:ascii="Times New Roman" w:hAnsi="Times New Roman" w:cs="Times New Roman"/>
        </w:rPr>
        <w:t>Grytnes</w:t>
      </w:r>
      <w:proofErr w:type="spellEnd"/>
      <w:r w:rsidRPr="00DD374B">
        <w:rPr>
          <w:rFonts w:ascii="Times New Roman" w:hAnsi="Times New Roman" w:cs="Times New Roman"/>
        </w:rPr>
        <w:t xml:space="preserve"> &amp; </w:t>
      </w:r>
      <w:proofErr w:type="spellStart"/>
      <w:r w:rsidRPr="00DD374B">
        <w:rPr>
          <w:rFonts w:ascii="Times New Roman" w:hAnsi="Times New Roman" w:cs="Times New Roman"/>
        </w:rPr>
        <w:t>Vetaas</w:t>
      </w:r>
      <w:proofErr w:type="spellEnd"/>
      <w:r w:rsidRPr="00DD374B">
        <w:rPr>
          <w:rFonts w:ascii="Times New Roman" w:hAnsi="Times New Roman" w:cs="Times New Roman"/>
        </w:rPr>
        <w:t xml:space="preserve"> 2002). The fact that our species accumulation curves did not fully asymptote for trees and herbs even after 221 plots suggests that a considerable portion of the regional species pool remained unsampled in these strata – reinforcing the extraordinary floristic heterogeneity and fine-grained beta diversity of Bhutan’s montane landscapes.</w:t>
      </w:r>
    </w:p>
    <w:p w14:paraId="018D0B09"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lastRenderedPageBreak/>
        <w:t xml:space="preserve">Indicator species and floristic transitions. </w:t>
      </w:r>
    </w:p>
    <w:p w14:paraId="1AED14F7" w14:textId="77777777" w:rsidR="00730057" w:rsidRPr="00DD374B" w:rsidRDefault="00730057" w:rsidP="00730057">
      <w:pPr>
        <w:pStyle w:val="BodyText"/>
        <w:spacing w:before="0" w:after="0" w:line="360" w:lineRule="auto"/>
        <w:jc w:val="both"/>
        <w:rPr>
          <w:rFonts w:ascii="Times New Roman" w:hAnsi="Times New Roman" w:cs="Times New Roman"/>
        </w:rPr>
      </w:pPr>
      <w:r w:rsidRPr="00DD374B">
        <w:rPr>
          <w:rFonts w:ascii="Times New Roman" w:hAnsi="Times New Roman" w:cs="Times New Roman"/>
        </w:rPr>
        <w:t xml:space="preserve">Indicator species analysis revealed relatively few significant canopy indicators but a greater number of shrub and herb specialists, underscoring finer niche partitioning among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taxa along the gradient. The associations of Schima </w:t>
      </w:r>
      <w:proofErr w:type="spellStart"/>
      <w:r w:rsidRPr="00DD374B">
        <w:rPr>
          <w:rFonts w:ascii="Times New Roman" w:hAnsi="Times New Roman" w:cs="Times New Roman"/>
        </w:rPr>
        <w:t>wallichii</w:t>
      </w:r>
      <w:proofErr w:type="spellEnd"/>
      <w:r w:rsidRPr="00DD374B">
        <w:rPr>
          <w:rFonts w:ascii="Times New Roman" w:hAnsi="Times New Roman" w:cs="Times New Roman"/>
        </w:rPr>
        <w:t xml:space="preserve"> and Castanopsis indica with low- to mid-elevations, and Alnus </w:t>
      </w:r>
      <w:proofErr w:type="spellStart"/>
      <w:r w:rsidRPr="00DD374B">
        <w:rPr>
          <w:rFonts w:ascii="Times New Roman" w:hAnsi="Times New Roman" w:cs="Times New Roman"/>
        </w:rPr>
        <w:t>nepalensis</w:t>
      </w:r>
      <w:proofErr w:type="spellEnd"/>
      <w:r w:rsidRPr="00DD374B">
        <w:rPr>
          <w:rFonts w:ascii="Times New Roman" w:hAnsi="Times New Roman" w:cs="Times New Roman"/>
        </w:rPr>
        <w:t xml:space="preserve"> with higher elevations, align closely with Bhutanese floristic syntheses: evergreen broadleaved dominants characterize lower belts, whereas cold-tolerant or disturbance-adapted taxa (including pioneers like Alnus) become increasingly prominent upslope (Grierson &amp; Long 1983–2001;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These patterns support the view that Himalayan Forest zonation is not defined by sharp, discrete boundaries, but rather by overlapping species distributions structured by gradual shifts in temperature, moisture, and disturbance regimes (Ohsawa 1995). The paucity of indicator tree species in our analysis suggests that many canopy species have broad ecological amplitudes across the gradient, whereas shrubs and herbs serve as more sensitive markers of environmental transitions within each elevational zone.</w:t>
      </w:r>
    </w:p>
    <w:p w14:paraId="144A0028"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 xml:space="preserve">Regeneration dynamics and model interpretation. </w:t>
      </w:r>
    </w:p>
    <w:p w14:paraId="75F4B4E4" w14:textId="77777777" w:rsidR="00730057" w:rsidRPr="00DD374B" w:rsidRDefault="00730057" w:rsidP="00730057">
      <w:pPr>
        <w:pStyle w:val="BodyText"/>
        <w:spacing w:before="0" w:after="0" w:line="360" w:lineRule="auto"/>
        <w:jc w:val="both"/>
        <w:rPr>
          <w:rFonts w:ascii="Times New Roman" w:hAnsi="Times New Roman" w:cs="Times New Roman"/>
        </w:rPr>
      </w:pPr>
      <w:r w:rsidRPr="00DD374B">
        <w:rPr>
          <w:rFonts w:ascii="Times New Roman" w:hAnsi="Times New Roman" w:cs="Times New Roman"/>
        </w:rPr>
        <w:t xml:space="preserve">Our machine-learning models provided additional insight into regeneration controls, with shrub-layer diversity and richness emerging as stronger predictors of tree seedling richness than macroclimatic variables or spatial location. This finding points to the primacy of neighborhood interactions and microsite filtering during early demographic stages. Dense or diverse shrub understories may facilitate tree recruitment by moderating microclimate extremes (reducing heat and evaporative stress) or protecting seedlings from herbivory and physical disturbance; conversely, shrubs can also suppress regeneration via competition for light and soil moisture, depending on local conditions. The importance of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structure in shaping tree regeneration echoes the conclusions of </w:t>
      </w:r>
      <w:proofErr w:type="spellStart"/>
      <w:r w:rsidRPr="00DD374B">
        <w:rPr>
          <w:rFonts w:ascii="Times New Roman" w:hAnsi="Times New Roman" w:cs="Times New Roman"/>
        </w:rPr>
        <w:t>Wangda</w:t>
      </w:r>
      <w:proofErr w:type="spellEnd"/>
      <w:r w:rsidRPr="00DD374B">
        <w:rPr>
          <w:rFonts w:ascii="Times New Roman" w:hAnsi="Times New Roman" w:cs="Times New Roman"/>
        </w:rPr>
        <w:t xml:space="preserve"> &amp; Ohsawa (</w:t>
      </w:r>
      <w:proofErr w:type="spellStart"/>
      <w:r w:rsidRPr="00DD374B">
        <w:rPr>
          <w:rFonts w:ascii="Times New Roman" w:hAnsi="Times New Roman" w:cs="Times New Roman"/>
        </w:rPr>
        <w:t>2006a</w:t>
      </w:r>
      <w:proofErr w:type="spellEnd"/>
      <w:r w:rsidRPr="00DD374B">
        <w:rPr>
          <w:rFonts w:ascii="Times New Roman" w:hAnsi="Times New Roman" w:cs="Times New Roman"/>
        </w:rPr>
        <w:t xml:space="preserve">), who qualitatively noted that sites with well-developed shrub layers in Bhutan tended to support greater tree recruitment. Quantitative modeling of regeneration drivers, however, remains rare in the eastern Himalaya, making our results a novel contribution. Notably, the explanatory power of our models was modest: even the best random forest model achieved a cross-validated </w:t>
      </w:r>
      <w:proofErr w:type="spellStart"/>
      <w:r w:rsidRPr="00DD374B">
        <w:rPr>
          <w:rFonts w:ascii="Times New Roman" w:hAnsi="Times New Roman" w:cs="Times New Roman"/>
        </w:rPr>
        <w:t>R²</w:t>
      </w:r>
      <w:proofErr w:type="spellEnd"/>
      <w:r w:rsidRPr="00DD374B">
        <w:rPr>
          <w:rFonts w:ascii="Times New Roman" w:hAnsi="Times New Roman" w:cs="Times New Roman"/>
        </w:rPr>
        <w:t xml:space="preserve"> of only ~0.14 (14%) [5]. Such modest predictive strength suggests that key drivers – for example, canopy gap openness, soil characteristics, disturbance history, or fine-scale moisture availability – were not captured by our set of environmental predictors. In mountainous, gap-dynamic forests, this outcome is expected: regeneration is often governed by stochastic gap formation and microsite variability </w:t>
      </w:r>
      <w:r w:rsidRPr="00DD374B">
        <w:rPr>
          <w:rFonts w:ascii="Times New Roman" w:hAnsi="Times New Roman" w:cs="Times New Roman"/>
        </w:rPr>
        <w:lastRenderedPageBreak/>
        <w:t xml:space="preserve">rather than by smooth climatic gradients. Indeed, many of the factors influencing seedling establishment (e.g. episodic treefall gaps, pathogen outbreaks, animal dispersal events) are inherently patchy or random. Thus, a low </w:t>
      </w:r>
      <w:proofErr w:type="spellStart"/>
      <w:r w:rsidRPr="00DD374B">
        <w:rPr>
          <w:rFonts w:ascii="Times New Roman" w:hAnsi="Times New Roman" w:cs="Times New Roman"/>
        </w:rPr>
        <w:t>R²</w:t>
      </w:r>
      <w:proofErr w:type="spellEnd"/>
      <w:r w:rsidRPr="00DD374B">
        <w:rPr>
          <w:rFonts w:ascii="Times New Roman" w:hAnsi="Times New Roman" w:cs="Times New Roman"/>
        </w:rPr>
        <w:t xml:space="preserve"> does not imply that regeneration is unstructured, but rather that it is driven by contingent local events and unmeasured variables. Our use of machine learning was therefore intended as an exploratory approach to identify potential drivers, not to produce a deterministic predictive model of regeneration. The comparatively better performance of random forest over gradient boosting in our case further suggests complex, non-linear interactions among predictors that are difficult to capture without additional structural and edaphic variables. Future studies incorporating direct measures of canopy gap fraction, soil nutrients, and disturbance metrics could improve prediction of regeneration patterns.</w:t>
      </w:r>
    </w:p>
    <w:p w14:paraId="47CC736B" w14:textId="77777777" w:rsidR="00730057" w:rsidRPr="00DD374B" w:rsidRDefault="00730057" w:rsidP="00730057">
      <w:pPr>
        <w:pStyle w:val="Heading2"/>
        <w:rPr>
          <w:rFonts w:ascii="Times New Roman" w:hAnsi="Times New Roman" w:cs="Times New Roman"/>
        </w:rPr>
      </w:pPr>
      <w:r w:rsidRPr="00DD374B">
        <w:rPr>
          <w:rFonts w:ascii="Times New Roman" w:hAnsi="Times New Roman" w:cs="Times New Roman"/>
        </w:rPr>
        <w:t>Limitations and novelty of the study.</w:t>
      </w:r>
    </w:p>
    <w:p w14:paraId="0974B75A" w14:textId="77777777" w:rsidR="00730057" w:rsidRPr="00DD374B" w:rsidRDefault="00730057" w:rsidP="00730057">
      <w:pPr>
        <w:pStyle w:val="BodyText"/>
        <w:spacing w:before="0" w:after="0" w:line="360" w:lineRule="auto"/>
        <w:jc w:val="both"/>
        <w:rPr>
          <w:rFonts w:ascii="Times New Roman" w:hAnsi="Times New Roman" w:cs="Times New Roman"/>
        </w:rPr>
      </w:pPr>
      <w:r w:rsidRPr="00DD374B">
        <w:rPr>
          <w:rFonts w:ascii="Times New Roman" w:hAnsi="Times New Roman" w:cs="Times New Roman"/>
        </w:rPr>
        <w:t>Several caveats merit consideration when interpreting our findings. First, our climate variables were derived from interpolated surfaces (</w:t>
      </w:r>
      <w:proofErr w:type="spellStart"/>
      <w:r w:rsidRPr="00DD374B">
        <w:rPr>
          <w:rFonts w:ascii="Times New Roman" w:hAnsi="Times New Roman" w:cs="Times New Roman"/>
        </w:rPr>
        <w:t>WorldClim</w:t>
      </w:r>
      <w:proofErr w:type="spellEnd"/>
      <w:r w:rsidRPr="00DD374B">
        <w:rPr>
          <w:rFonts w:ascii="Times New Roman" w:hAnsi="Times New Roman" w:cs="Times New Roman"/>
        </w:rPr>
        <w:t xml:space="preserve">, etc.) that may not fully capture plot-level conditions in steep terrain; fine-scale temperature and moisture regimes likely deviate from these macroclimatic estimates. Second, as noted above, the heterogeneity in shrub, herb, and regeneration communities means that part of the compositional differentiation we detected reflects within-type variability rather than clear shifts in community centroids alone. Third, our regeneration data provide only a snapshot in time and may underestimate longer-term recruitment dynamics, especially for slow-growing montane tree species that establish episodically. Despite these constraints, this study represents one of the most comprehensive multi-stratum assessments of vegetation structure and regeneration along an elevational gradient in Bhutan to date. To our knowledge, no prior study in the eastern Himalaya has simultaneously examined trees, shrubs, herbs, and the regeneration layer across such a climatic gradient, highlighting the novelty of our integrative approach. The results </w:t>
      </w:r>
      <w:proofErr w:type="spellStart"/>
      <w:r w:rsidRPr="00DD374B">
        <w:rPr>
          <w:rFonts w:ascii="Times New Roman" w:hAnsi="Times New Roman" w:cs="Times New Roman"/>
        </w:rPr>
        <w:t>emphasise</w:t>
      </w:r>
      <w:proofErr w:type="spellEnd"/>
      <w:r w:rsidRPr="00DD374B">
        <w:rPr>
          <w:rFonts w:ascii="Times New Roman" w:hAnsi="Times New Roman" w:cs="Times New Roman"/>
        </w:rPr>
        <w:t xml:space="preserve"> that Himalayan Forest assembly is governed by strong vertical stratification, pervasive fine-scale heterogeneity, and neighborhood-scale interactions that cannot be inferred from macroclimatic patterns alone. From a conservation perspective, the findings underscore those unmanaged forests in Bhutan harbor exceptionally high </w:t>
      </w:r>
      <w:proofErr w:type="spellStart"/>
      <w:r w:rsidRPr="00DD374B">
        <w:rPr>
          <w:rFonts w:ascii="Times New Roman" w:hAnsi="Times New Roman" w:cs="Times New Roman"/>
        </w:rPr>
        <w:t>understorey</w:t>
      </w:r>
      <w:proofErr w:type="spellEnd"/>
      <w:r w:rsidRPr="00DD374B">
        <w:rPr>
          <w:rFonts w:ascii="Times New Roman" w:hAnsi="Times New Roman" w:cs="Times New Roman"/>
        </w:rPr>
        <w:t xml:space="preserve"> turnover and complex, gap-driven regeneration dynamics. Maintaining microhabitat heterogeneity and natural disturbance regimes across elevations – especially in mid-elevation broadleaved forests that emerge as centers of shrub diversity and floristic transition – will be critical for sustaining biodiversity and regeneration processes under environmental change in the eastern Himalaya.</w:t>
      </w:r>
    </w:p>
    <w:p w14:paraId="5DAAA540" w14:textId="77777777" w:rsidR="00730057" w:rsidRPr="00DD374B" w:rsidRDefault="00730057" w:rsidP="00730057">
      <w:pPr>
        <w:pStyle w:val="Heading1"/>
        <w:rPr>
          <w:rFonts w:ascii="Times New Roman" w:hAnsi="Times New Roman" w:cs="Times New Roman"/>
        </w:rPr>
      </w:pPr>
      <w:r w:rsidRPr="00DD374B">
        <w:rPr>
          <w:rFonts w:ascii="Times New Roman" w:hAnsi="Times New Roman" w:cs="Times New Roman"/>
        </w:rPr>
        <w:lastRenderedPageBreak/>
        <w:t>Conclusions</w:t>
      </w:r>
    </w:p>
    <w:p w14:paraId="769272DF" w14:textId="77777777" w:rsidR="00730057" w:rsidRPr="00DD374B" w:rsidRDefault="00730057" w:rsidP="00730057">
      <w:pPr>
        <w:spacing w:line="360" w:lineRule="auto"/>
        <w:jc w:val="both"/>
      </w:pPr>
      <w:r w:rsidRPr="00DD374B">
        <w:t xml:space="preserve">Plant communities along the Sarpang elevational gradient are consistently structured by forest type across all vegetation strata, yet the strength and drivers of this structuring differ markedly among canopy, </w:t>
      </w:r>
      <w:proofErr w:type="spellStart"/>
      <w:r w:rsidRPr="00DD374B">
        <w:t>understorey</w:t>
      </w:r>
      <w:proofErr w:type="spellEnd"/>
      <w:r w:rsidRPr="00DD374B">
        <w:t xml:space="preserve"> and regeneration layers. Shrub and herb assemblages exhibited the strongest compositional turnover and the highest beta diversity, indicating pronounced sensitivity to fine-scale environmental heterogeneity, whereas tree communities were comparatively stable across forest types and elevations. Macro-environmental predictors explained only a small fraction of floristic variation, even where statistically significant for woody strata, </w:t>
      </w:r>
      <w:proofErr w:type="spellStart"/>
      <w:r w:rsidRPr="00DD374B">
        <w:t>emphasising</w:t>
      </w:r>
      <w:proofErr w:type="spellEnd"/>
      <w:r w:rsidRPr="00DD374B">
        <w:t xml:space="preserve"> the overriding influence of microsite conditions, </w:t>
      </w:r>
      <w:proofErr w:type="spellStart"/>
      <w:r w:rsidRPr="00DD374B">
        <w:t>neighbourhood</w:t>
      </w:r>
      <w:proofErr w:type="spellEnd"/>
      <w:r w:rsidRPr="00DD374B">
        <w:t xml:space="preserve"> interactions and disturbance legacies in Himalayan mountain forests.</w:t>
      </w:r>
    </w:p>
    <w:p w14:paraId="6B4DC10E" w14:textId="77777777" w:rsidR="00730057" w:rsidRPr="00DD374B" w:rsidRDefault="00730057" w:rsidP="00730057">
      <w:pPr>
        <w:spacing w:line="360" w:lineRule="auto"/>
        <w:jc w:val="both"/>
      </w:pPr>
      <w:r w:rsidRPr="00DD374B">
        <w:t xml:space="preserve">Diversity patterns further underscore this vertical differentiation. Trees and shrubs maintained high local richness and evenness, with shrubs showing a mid-elevation peak characteristic of eastern Himalayan systems, while herbaceous and regeneration layers were </w:t>
      </w:r>
      <w:proofErr w:type="spellStart"/>
      <w:r w:rsidRPr="00DD374B">
        <w:t>characterised</w:t>
      </w:r>
      <w:proofErr w:type="spellEnd"/>
      <w:r w:rsidRPr="00DD374B">
        <w:t xml:space="preserve"> by irregular elevational trends and exceptionally high turnover. Indicator species reinforced classical Bhutanese zonation patterns, with evergreen broadleaved taxa dominating lower belts and pioneer or cool-adapted species increasing upslope, yet also revealed substantial within-belt heterogeneity, particularly in the </w:t>
      </w:r>
      <w:proofErr w:type="spellStart"/>
      <w:r w:rsidRPr="00DD374B">
        <w:t>understorey</w:t>
      </w:r>
      <w:proofErr w:type="spellEnd"/>
      <w:r w:rsidRPr="00DD374B">
        <w:t>.</w:t>
      </w:r>
    </w:p>
    <w:p w14:paraId="20F43398" w14:textId="77777777" w:rsidR="00730057" w:rsidRPr="00DD374B" w:rsidRDefault="00730057" w:rsidP="00730057">
      <w:pPr>
        <w:spacing w:line="360" w:lineRule="auto"/>
        <w:jc w:val="both"/>
      </w:pPr>
      <w:r w:rsidRPr="00DD374B">
        <w:t>Regeneration modelling highlighted the central role of shrub-layer structure in shaping recruitment, with shrub diversity and richness emerging as stronger predictors than spatial position alone, alongside temperature, elevation and evapotranspiration. The modest predictive performance of all models indicates that key demographic controls—such as canopy openness, soil properties and fine-scale moisture remain unresolved, pointing to priority directions for future field-based and experimental work.</w:t>
      </w:r>
    </w:p>
    <w:p w14:paraId="536C0B49" w14:textId="77777777" w:rsidR="00730057" w:rsidRPr="00DD374B" w:rsidRDefault="00730057" w:rsidP="00730057">
      <w:pPr>
        <w:spacing w:line="360" w:lineRule="auto"/>
        <w:jc w:val="both"/>
      </w:pPr>
      <w:r w:rsidRPr="00DD374B">
        <w:t xml:space="preserve">Taken together, these results provide one of the most comprehensive multi-stratum assessments of vegetation </w:t>
      </w:r>
      <w:proofErr w:type="spellStart"/>
      <w:r w:rsidRPr="00DD374B">
        <w:t>organisation</w:t>
      </w:r>
      <w:proofErr w:type="spellEnd"/>
      <w:r w:rsidRPr="00DD374B">
        <w:t xml:space="preserve"> along an elevational gradient in south-central Bhutan. They demonstrate that Himalayan Forest assembly cannot be inferred solely from canopy patterns or broad climatic gradients but instead reflects strong vertical stratification and pervasive fine-scale heterogeneity. This baseline offers a critical reference for long-term monitoring and for evaluating how Bhutan’s unmanaged broadleaved forests may </w:t>
      </w:r>
      <w:proofErr w:type="spellStart"/>
      <w:r w:rsidRPr="00DD374B">
        <w:t>reorganise</w:t>
      </w:r>
      <w:proofErr w:type="spellEnd"/>
      <w:r w:rsidRPr="00DD374B">
        <w:t xml:space="preserve"> under shifting climatic and disturbance regimes across the eastern Himalaya. Integrating functional trait data—such as specific leaf area, wood density, seed mass and shade tolerance—would permit direct tests of environmental filtering and </w:t>
      </w:r>
      <w:proofErr w:type="spellStart"/>
      <w:r w:rsidRPr="00DD374B">
        <w:lastRenderedPageBreak/>
        <w:t>neighbourhood</w:t>
      </w:r>
      <w:proofErr w:type="spellEnd"/>
      <w:r w:rsidRPr="00DD374B">
        <w:t xml:space="preserve"> interactions along the gradient. Experimental approaches, including gap-creation trials and seedling transplant experiments across elevation bands, would further clarify causal mechanisms controlling regeneration success and vertical stratification. Future research combining functional trait analyses, repeated seasonal sampling and manipulative regeneration experiments will be essential for disentangling climatic, edaphic and </w:t>
      </w:r>
      <w:proofErr w:type="spellStart"/>
      <w:r w:rsidRPr="00DD374B">
        <w:t>neighbourhood</w:t>
      </w:r>
      <w:proofErr w:type="spellEnd"/>
      <w:r w:rsidRPr="00DD374B">
        <w:t xml:space="preserve"> drivers of recruitment and for forecasting long-term </w:t>
      </w:r>
      <w:proofErr w:type="spellStart"/>
      <w:r w:rsidRPr="00DD374B">
        <w:t>reorganisation</w:t>
      </w:r>
      <w:proofErr w:type="spellEnd"/>
      <w:r w:rsidRPr="00DD374B">
        <w:t xml:space="preserve"> of Himalayan forests under climate change.</w:t>
      </w:r>
    </w:p>
    <w:p w14:paraId="5088E431" w14:textId="2B00D937" w:rsidR="00846B76" w:rsidRPr="00846B76" w:rsidRDefault="00846B76" w:rsidP="00846B76">
      <w:pPr>
        <w:spacing w:line="360" w:lineRule="auto"/>
        <w:jc w:val="both"/>
        <w:rPr>
          <w:rFonts w:ascii="Arial" w:hAnsi="Arial" w:cs="Arial"/>
        </w:rPr>
      </w:pPr>
    </w:p>
    <w:p w14:paraId="484233DC" w14:textId="7CDD7617" w:rsidR="006B039B" w:rsidRPr="00CE7718" w:rsidRDefault="00000000" w:rsidP="00252037">
      <w:pPr>
        <w:pStyle w:val="Heading1"/>
      </w:pPr>
      <w:r w:rsidRPr="001B083A">
        <w:t>Data availability statement</w:t>
      </w:r>
    </w:p>
    <w:p w14:paraId="6FE0893C" w14:textId="0FA013FB" w:rsidR="006B039B" w:rsidRPr="001B083A" w:rsidRDefault="006360D5" w:rsidP="00252037">
      <w:pPr>
        <w:spacing w:line="360" w:lineRule="auto"/>
        <w:jc w:val="both"/>
        <w:rPr>
          <w:rFonts w:ascii="Arial" w:hAnsi="Arial" w:cs="Arial"/>
        </w:rPr>
      </w:pPr>
      <w:r w:rsidRPr="006360D5">
        <w:rPr>
          <w:rFonts w:ascii="Arial" w:hAnsi="Arial" w:cs="Arial"/>
        </w:rPr>
        <w:t>All R scripts used for data preparation, multivariate analyses, machine-learning modelling and figure generation will be deposited alongside the curated datasets in the public repository associated with this study. A permanent DOI will be provided upon acceptance in accordance with Journal</w:t>
      </w:r>
      <w:r w:rsidR="00A63937">
        <w:rPr>
          <w:rFonts w:ascii="Arial" w:hAnsi="Arial" w:cs="Arial"/>
        </w:rPr>
        <w:t xml:space="preserve">’s </w:t>
      </w:r>
      <w:r w:rsidRPr="006360D5">
        <w:rPr>
          <w:rFonts w:ascii="Arial" w:hAnsi="Arial" w:cs="Arial"/>
        </w:rPr>
        <w:t>data-sharing requirements.</w:t>
      </w:r>
      <w:r w:rsidRPr="001B083A">
        <w:rPr>
          <w:rFonts w:ascii="Arial" w:hAnsi="Arial" w:cs="Arial"/>
        </w:rPr>
        <w:br w:type="page"/>
      </w:r>
    </w:p>
    <w:p w14:paraId="6C5C401D" w14:textId="77777777" w:rsidR="001B083A" w:rsidRPr="001B083A" w:rsidRDefault="00000000" w:rsidP="002B5699">
      <w:pPr>
        <w:pStyle w:val="Heading1"/>
        <w:spacing w:line="276" w:lineRule="auto"/>
      </w:pPr>
      <w:r w:rsidRPr="001B083A">
        <w:lastRenderedPageBreak/>
        <w:t>References</w:t>
      </w:r>
    </w:p>
    <w:p w14:paraId="14BAC4FD"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Abrams, M., Crippen, R., &amp; </w:t>
      </w:r>
      <w:proofErr w:type="spellStart"/>
      <w:r w:rsidRPr="002B5699">
        <w:rPr>
          <w:rFonts w:ascii="Arial" w:hAnsi="Arial" w:cs="Arial"/>
        </w:rPr>
        <w:t>Fujisada</w:t>
      </w:r>
      <w:proofErr w:type="spellEnd"/>
      <w:r w:rsidRPr="002B5699">
        <w:rPr>
          <w:rFonts w:ascii="Arial" w:hAnsi="Arial" w:cs="Arial"/>
        </w:rPr>
        <w:t>, H. (2020). ASTER Global Digital Elevation Model (</w:t>
      </w:r>
      <w:proofErr w:type="spellStart"/>
      <w:r w:rsidRPr="002B5699">
        <w:rPr>
          <w:rFonts w:ascii="Arial" w:hAnsi="Arial" w:cs="Arial"/>
        </w:rPr>
        <w:t>GDEM</w:t>
      </w:r>
      <w:proofErr w:type="spellEnd"/>
      <w:r w:rsidRPr="002B5699">
        <w:rPr>
          <w:rFonts w:ascii="Arial" w:hAnsi="Arial" w:cs="Arial"/>
        </w:rPr>
        <w:t>) and ASTER Global Water Body Dataset (</w:t>
      </w:r>
      <w:proofErr w:type="spellStart"/>
      <w:r w:rsidRPr="002B5699">
        <w:rPr>
          <w:rFonts w:ascii="Arial" w:hAnsi="Arial" w:cs="Arial"/>
        </w:rPr>
        <w:t>ASTWBD</w:t>
      </w:r>
      <w:proofErr w:type="spellEnd"/>
      <w:r w:rsidRPr="002B5699">
        <w:rPr>
          <w:rFonts w:ascii="Arial" w:hAnsi="Arial" w:cs="Arial"/>
        </w:rPr>
        <w:t xml:space="preserve">). </w:t>
      </w:r>
      <w:r w:rsidRPr="002B5699">
        <w:rPr>
          <w:rFonts w:ascii="Arial" w:hAnsi="Arial" w:cs="Arial"/>
          <w:i/>
          <w:iCs/>
        </w:rPr>
        <w:t>Remote Sensing, 12</w:t>
      </w:r>
      <w:r w:rsidRPr="002B5699">
        <w:rPr>
          <w:rFonts w:ascii="Arial" w:hAnsi="Arial" w:cs="Arial"/>
        </w:rPr>
        <w:t xml:space="preserve">, 1156. </w:t>
      </w:r>
      <w:hyperlink r:id="rId6" w:tgtFrame="_new" w:history="1">
        <w:r w:rsidRPr="002B5699">
          <w:rPr>
            <w:rStyle w:val="Hyperlink"/>
            <w:rFonts w:ascii="Arial" w:hAnsi="Arial" w:cs="Arial"/>
          </w:rPr>
          <w:t>https://doi.org/10.3390/rs12071156</w:t>
        </w:r>
      </w:hyperlink>
    </w:p>
    <w:p w14:paraId="5C23E311" w14:textId="77777777" w:rsidR="002B5699" w:rsidRPr="002B5699" w:rsidRDefault="002B5699" w:rsidP="00EE174C">
      <w:pPr>
        <w:spacing w:after="120" w:line="276" w:lineRule="auto"/>
        <w:jc w:val="both"/>
        <w:rPr>
          <w:rFonts w:ascii="Arial" w:hAnsi="Arial" w:cs="Arial"/>
        </w:rPr>
      </w:pPr>
      <w:r w:rsidRPr="002B5699">
        <w:rPr>
          <w:rFonts w:ascii="Arial" w:hAnsi="Arial" w:cs="Arial"/>
        </w:rPr>
        <w:t>Anderson, M. J. (2001). A new method for non</w:t>
      </w:r>
      <w:r w:rsidRPr="002B5699">
        <w:rPr>
          <w:rFonts w:ascii="Cambria Math" w:hAnsi="Cambria Math" w:cs="Cambria Math"/>
        </w:rPr>
        <w:t>‐</w:t>
      </w:r>
      <w:r w:rsidRPr="002B5699">
        <w:rPr>
          <w:rFonts w:ascii="Arial" w:hAnsi="Arial" w:cs="Arial"/>
        </w:rPr>
        <w:t xml:space="preserve">parametric multivariate analysis of variance. </w:t>
      </w:r>
      <w:r w:rsidRPr="002B5699">
        <w:rPr>
          <w:rFonts w:ascii="Arial" w:hAnsi="Arial" w:cs="Arial"/>
          <w:i/>
          <w:iCs/>
        </w:rPr>
        <w:t>Austral Ecology, 26</w:t>
      </w:r>
      <w:r w:rsidRPr="002B5699">
        <w:rPr>
          <w:rFonts w:ascii="Arial" w:hAnsi="Arial" w:cs="Arial"/>
        </w:rPr>
        <w:t xml:space="preserve">, 32–46. </w:t>
      </w:r>
      <w:hyperlink r:id="rId7" w:tgtFrame="_new" w:history="1">
        <w:r w:rsidRPr="002B5699">
          <w:rPr>
            <w:rStyle w:val="Hyperlink"/>
            <w:rFonts w:ascii="Arial" w:hAnsi="Arial" w:cs="Arial"/>
          </w:rPr>
          <w:t>https://doi.org/10.1111/j.1442-9993.2001.01070.pp.x</w:t>
        </w:r>
      </w:hyperlink>
    </w:p>
    <w:p w14:paraId="67CAF61D" w14:textId="77777777" w:rsidR="002B5699" w:rsidRPr="002B5699" w:rsidRDefault="002B5699" w:rsidP="00EE174C">
      <w:pPr>
        <w:spacing w:after="120" w:line="276" w:lineRule="auto"/>
        <w:jc w:val="both"/>
        <w:rPr>
          <w:rFonts w:ascii="Arial" w:hAnsi="Arial" w:cs="Arial"/>
        </w:rPr>
      </w:pPr>
      <w:proofErr w:type="spellStart"/>
      <w:r w:rsidRPr="002B5699">
        <w:rPr>
          <w:rFonts w:ascii="Arial" w:hAnsi="Arial" w:cs="Arial"/>
        </w:rPr>
        <w:t>Bookhagen</w:t>
      </w:r>
      <w:proofErr w:type="spellEnd"/>
      <w:r w:rsidRPr="002B5699">
        <w:rPr>
          <w:rFonts w:ascii="Arial" w:hAnsi="Arial" w:cs="Arial"/>
        </w:rPr>
        <w:t xml:space="preserve">, B., &amp; Burbank, D. W. (2010). Toward a complete Himalayan hydrological budget: Spatiotemporal distribution of snowmelt and rainfall and their impact on river discharge. </w:t>
      </w:r>
      <w:r w:rsidRPr="002B5699">
        <w:rPr>
          <w:rFonts w:ascii="Arial" w:hAnsi="Arial" w:cs="Arial"/>
          <w:i/>
          <w:iCs/>
        </w:rPr>
        <w:t>Journal of Geophysical Research: Earth Surface, 115</w:t>
      </w:r>
      <w:r w:rsidRPr="002B5699">
        <w:rPr>
          <w:rFonts w:ascii="Arial" w:hAnsi="Arial" w:cs="Arial"/>
        </w:rPr>
        <w:t xml:space="preserve">, </w:t>
      </w:r>
      <w:proofErr w:type="spellStart"/>
      <w:r w:rsidRPr="002B5699">
        <w:rPr>
          <w:rFonts w:ascii="Arial" w:hAnsi="Arial" w:cs="Arial"/>
        </w:rPr>
        <w:t>F03019</w:t>
      </w:r>
      <w:proofErr w:type="spellEnd"/>
      <w:r w:rsidRPr="002B5699">
        <w:rPr>
          <w:rFonts w:ascii="Arial" w:hAnsi="Arial" w:cs="Arial"/>
        </w:rPr>
        <w:t xml:space="preserve">. </w:t>
      </w:r>
      <w:hyperlink r:id="rId8" w:tgtFrame="_new" w:history="1">
        <w:r w:rsidRPr="002B5699">
          <w:rPr>
            <w:rStyle w:val="Hyperlink"/>
            <w:rFonts w:ascii="Arial" w:hAnsi="Arial" w:cs="Arial"/>
          </w:rPr>
          <w:t>https://doi.org/10.1029/2009JF001426</w:t>
        </w:r>
      </w:hyperlink>
    </w:p>
    <w:p w14:paraId="7050A8CC"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Bray, J. R., &amp; Curtis, J. T. (1957). An ordination of the upland forest communities of southern Wisconsin. </w:t>
      </w:r>
      <w:r w:rsidRPr="002B5699">
        <w:rPr>
          <w:rFonts w:ascii="Arial" w:hAnsi="Arial" w:cs="Arial"/>
          <w:i/>
          <w:iCs/>
        </w:rPr>
        <w:t>Ecological Monographs, 27</w:t>
      </w:r>
      <w:r w:rsidRPr="002B5699">
        <w:rPr>
          <w:rFonts w:ascii="Arial" w:hAnsi="Arial" w:cs="Arial"/>
        </w:rPr>
        <w:t xml:space="preserve">, 325–349. </w:t>
      </w:r>
      <w:hyperlink r:id="rId9" w:tgtFrame="_new" w:history="1">
        <w:r w:rsidRPr="002B5699">
          <w:rPr>
            <w:rStyle w:val="Hyperlink"/>
            <w:rFonts w:ascii="Arial" w:hAnsi="Arial" w:cs="Arial"/>
          </w:rPr>
          <w:t>https://doi.org/10.2307/1942268</w:t>
        </w:r>
      </w:hyperlink>
    </w:p>
    <w:p w14:paraId="61689A63" w14:textId="77777777" w:rsidR="002B5699" w:rsidRPr="002B5699" w:rsidRDefault="002B5699" w:rsidP="00EE174C">
      <w:pPr>
        <w:spacing w:after="120" w:line="276" w:lineRule="auto"/>
        <w:jc w:val="both"/>
        <w:rPr>
          <w:rFonts w:ascii="Arial" w:hAnsi="Arial" w:cs="Arial"/>
        </w:rPr>
      </w:pPr>
      <w:proofErr w:type="spellStart"/>
      <w:r w:rsidRPr="002B5699">
        <w:rPr>
          <w:rFonts w:ascii="Arial" w:hAnsi="Arial" w:cs="Arial"/>
        </w:rPr>
        <w:t>Breiman</w:t>
      </w:r>
      <w:proofErr w:type="spellEnd"/>
      <w:r w:rsidRPr="002B5699">
        <w:rPr>
          <w:rFonts w:ascii="Arial" w:hAnsi="Arial" w:cs="Arial"/>
        </w:rPr>
        <w:t xml:space="preserve">, L. (2001). Random forests. </w:t>
      </w:r>
      <w:r w:rsidRPr="002B5699">
        <w:rPr>
          <w:rFonts w:ascii="Arial" w:hAnsi="Arial" w:cs="Arial"/>
          <w:i/>
          <w:iCs/>
        </w:rPr>
        <w:t>Machine Learning, 45</w:t>
      </w:r>
      <w:r w:rsidRPr="002B5699">
        <w:rPr>
          <w:rFonts w:ascii="Arial" w:hAnsi="Arial" w:cs="Arial"/>
        </w:rPr>
        <w:t xml:space="preserve">, 5–32. </w:t>
      </w:r>
      <w:hyperlink r:id="rId10" w:tgtFrame="_new" w:history="1">
        <w:r w:rsidRPr="002B5699">
          <w:rPr>
            <w:rStyle w:val="Hyperlink"/>
            <w:rFonts w:ascii="Arial" w:hAnsi="Arial" w:cs="Arial"/>
          </w:rPr>
          <w:t>https://doi.org/10.1023/A:1010933404324</w:t>
        </w:r>
      </w:hyperlink>
    </w:p>
    <w:p w14:paraId="04F7A09C"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Chen, T., &amp; </w:t>
      </w:r>
      <w:proofErr w:type="spellStart"/>
      <w:r w:rsidRPr="002B5699">
        <w:rPr>
          <w:rFonts w:ascii="Arial" w:hAnsi="Arial" w:cs="Arial"/>
        </w:rPr>
        <w:t>Guestrin</w:t>
      </w:r>
      <w:proofErr w:type="spellEnd"/>
      <w:r w:rsidRPr="002B5699">
        <w:rPr>
          <w:rFonts w:ascii="Arial" w:hAnsi="Arial" w:cs="Arial"/>
        </w:rPr>
        <w:t xml:space="preserve">, C. (2016). </w:t>
      </w:r>
      <w:proofErr w:type="spellStart"/>
      <w:r w:rsidRPr="002B5699">
        <w:rPr>
          <w:rFonts w:ascii="Arial" w:hAnsi="Arial" w:cs="Arial"/>
        </w:rPr>
        <w:t>XGBoost</w:t>
      </w:r>
      <w:proofErr w:type="spellEnd"/>
      <w:r w:rsidRPr="002B5699">
        <w:rPr>
          <w:rFonts w:ascii="Arial" w:hAnsi="Arial" w:cs="Arial"/>
        </w:rPr>
        <w:t xml:space="preserve">: A scalable tree boosting system. In </w:t>
      </w:r>
      <w:r w:rsidRPr="002B5699">
        <w:rPr>
          <w:rFonts w:ascii="Arial" w:hAnsi="Arial" w:cs="Arial"/>
          <w:i/>
          <w:iCs/>
        </w:rPr>
        <w:t xml:space="preserve">Proceedings of the 22nd ACM </w:t>
      </w:r>
      <w:proofErr w:type="spellStart"/>
      <w:r w:rsidRPr="002B5699">
        <w:rPr>
          <w:rFonts w:ascii="Arial" w:hAnsi="Arial" w:cs="Arial"/>
          <w:i/>
          <w:iCs/>
        </w:rPr>
        <w:t>SIGKDD</w:t>
      </w:r>
      <w:proofErr w:type="spellEnd"/>
      <w:r w:rsidRPr="002B5699">
        <w:rPr>
          <w:rFonts w:ascii="Arial" w:hAnsi="Arial" w:cs="Arial"/>
          <w:i/>
          <w:iCs/>
        </w:rPr>
        <w:t xml:space="preserve"> International Conference on Knowledge Discovery and Data Mining</w:t>
      </w:r>
      <w:r w:rsidRPr="002B5699">
        <w:rPr>
          <w:rFonts w:ascii="Arial" w:hAnsi="Arial" w:cs="Arial"/>
        </w:rPr>
        <w:t xml:space="preserve"> (pp. 785–794). </w:t>
      </w:r>
      <w:hyperlink r:id="rId11" w:tgtFrame="_new" w:history="1">
        <w:r w:rsidRPr="002B5699">
          <w:rPr>
            <w:rStyle w:val="Hyperlink"/>
            <w:rFonts w:ascii="Arial" w:hAnsi="Arial" w:cs="Arial"/>
          </w:rPr>
          <w:t>https://doi.org/10.1145/2939672.2939785</w:t>
        </w:r>
      </w:hyperlink>
    </w:p>
    <w:p w14:paraId="2AD92F94" w14:textId="66F55D13" w:rsidR="002B5699" w:rsidRPr="002B5699" w:rsidRDefault="002B5699" w:rsidP="00EE174C">
      <w:pPr>
        <w:spacing w:after="120" w:line="276" w:lineRule="auto"/>
        <w:jc w:val="both"/>
        <w:rPr>
          <w:rFonts w:ascii="Arial" w:hAnsi="Arial" w:cs="Arial"/>
        </w:rPr>
      </w:pPr>
      <w:r w:rsidRPr="002B5699">
        <w:rPr>
          <w:rFonts w:ascii="Arial" w:hAnsi="Arial" w:cs="Arial"/>
        </w:rPr>
        <w:t xml:space="preserve">Clark, J. S., Bell, D., Chu, C., </w:t>
      </w:r>
      <w:proofErr w:type="spellStart"/>
      <w:r w:rsidRPr="002B5699">
        <w:rPr>
          <w:rFonts w:ascii="Arial" w:hAnsi="Arial" w:cs="Arial"/>
        </w:rPr>
        <w:t>Courbaud</w:t>
      </w:r>
      <w:proofErr w:type="spellEnd"/>
      <w:r w:rsidRPr="002B5699">
        <w:rPr>
          <w:rFonts w:ascii="Arial" w:hAnsi="Arial" w:cs="Arial"/>
        </w:rPr>
        <w:t>, B., Dietze, M., Hersh, M., … Wyckoff, P. (2014). High</w:t>
      </w:r>
      <w:r w:rsidRPr="002B5699">
        <w:rPr>
          <w:rFonts w:ascii="Cambria Math" w:hAnsi="Cambria Math" w:cs="Cambria Math"/>
        </w:rPr>
        <w:t>‐</w:t>
      </w:r>
      <w:r w:rsidRPr="002B5699">
        <w:rPr>
          <w:rFonts w:ascii="Arial" w:hAnsi="Arial" w:cs="Arial"/>
        </w:rPr>
        <w:t xml:space="preserve">dimensional coexistence based on individual variation: A synthesis of evidence. </w:t>
      </w:r>
      <w:r w:rsidRPr="002B5699">
        <w:rPr>
          <w:rFonts w:ascii="Arial" w:hAnsi="Arial" w:cs="Arial"/>
          <w:i/>
          <w:iCs/>
        </w:rPr>
        <w:t>Ecological Monographs, 84</w:t>
      </w:r>
      <w:r w:rsidRPr="002B5699">
        <w:rPr>
          <w:rFonts w:ascii="Arial" w:hAnsi="Arial" w:cs="Arial"/>
        </w:rPr>
        <w:t xml:space="preserve">, 3–42. </w:t>
      </w:r>
    </w:p>
    <w:p w14:paraId="69030F5D"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Dufrêne, M., &amp; Legendre, P. (1997). Species assemblages and indicator species: The need for a flexible asymmetrical approach. </w:t>
      </w:r>
      <w:r w:rsidRPr="002B5699">
        <w:rPr>
          <w:rFonts w:ascii="Arial" w:hAnsi="Arial" w:cs="Arial"/>
          <w:i/>
          <w:iCs/>
        </w:rPr>
        <w:t>Ecological Monographs, 67</w:t>
      </w:r>
      <w:r w:rsidRPr="002B5699">
        <w:rPr>
          <w:rFonts w:ascii="Arial" w:hAnsi="Arial" w:cs="Arial"/>
        </w:rPr>
        <w:t xml:space="preserve">, 345–366. </w:t>
      </w:r>
      <w:hyperlink r:id="rId12" w:tgtFrame="_new" w:history="1">
        <w:r w:rsidRPr="002B5699">
          <w:rPr>
            <w:rStyle w:val="Hyperlink"/>
            <w:rFonts w:ascii="Arial" w:hAnsi="Arial" w:cs="Arial"/>
          </w:rPr>
          <w:t>https://doi.org/10.2307/2963459</w:t>
        </w:r>
      </w:hyperlink>
    </w:p>
    <w:p w14:paraId="35715161"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Elith, J., </w:t>
      </w:r>
      <w:proofErr w:type="spellStart"/>
      <w:r w:rsidRPr="002B5699">
        <w:rPr>
          <w:rFonts w:ascii="Arial" w:hAnsi="Arial" w:cs="Arial"/>
        </w:rPr>
        <w:t>Leathwick</w:t>
      </w:r>
      <w:proofErr w:type="spellEnd"/>
      <w:r w:rsidRPr="002B5699">
        <w:rPr>
          <w:rFonts w:ascii="Arial" w:hAnsi="Arial" w:cs="Arial"/>
        </w:rPr>
        <w:t xml:space="preserve">, J. R., &amp; Hastie, T. (2008). A working guide to boosted regression trees. </w:t>
      </w:r>
      <w:r w:rsidRPr="002B5699">
        <w:rPr>
          <w:rFonts w:ascii="Arial" w:hAnsi="Arial" w:cs="Arial"/>
          <w:i/>
          <w:iCs/>
        </w:rPr>
        <w:t>Journal of Animal Ecology, 77</w:t>
      </w:r>
      <w:r w:rsidRPr="002B5699">
        <w:rPr>
          <w:rFonts w:ascii="Arial" w:hAnsi="Arial" w:cs="Arial"/>
        </w:rPr>
        <w:t xml:space="preserve">, 802–813. </w:t>
      </w:r>
      <w:hyperlink r:id="rId13" w:tgtFrame="_new" w:history="1">
        <w:r w:rsidRPr="002B5699">
          <w:rPr>
            <w:rStyle w:val="Hyperlink"/>
            <w:rFonts w:ascii="Arial" w:hAnsi="Arial" w:cs="Arial"/>
          </w:rPr>
          <w:t>https://doi.org/10.1111/j.1365-2656.2008.01390.x</w:t>
        </w:r>
      </w:hyperlink>
    </w:p>
    <w:p w14:paraId="574BD3F9"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Gilliam, F. S. (2007). The ecological significance of the herbaceous layer in temperate forest ecosystems. </w:t>
      </w:r>
      <w:proofErr w:type="spellStart"/>
      <w:r w:rsidRPr="002B5699">
        <w:rPr>
          <w:rFonts w:ascii="Arial" w:hAnsi="Arial" w:cs="Arial"/>
          <w:i/>
          <w:iCs/>
        </w:rPr>
        <w:t>BioScience</w:t>
      </w:r>
      <w:proofErr w:type="spellEnd"/>
      <w:r w:rsidRPr="002B5699">
        <w:rPr>
          <w:rFonts w:ascii="Arial" w:hAnsi="Arial" w:cs="Arial"/>
          <w:i/>
          <w:iCs/>
        </w:rPr>
        <w:t>, 57</w:t>
      </w:r>
      <w:r w:rsidRPr="002B5699">
        <w:rPr>
          <w:rFonts w:ascii="Arial" w:hAnsi="Arial" w:cs="Arial"/>
        </w:rPr>
        <w:t xml:space="preserve">, 845–858. </w:t>
      </w:r>
      <w:hyperlink r:id="rId14" w:tgtFrame="_new" w:history="1">
        <w:r w:rsidRPr="002B5699">
          <w:rPr>
            <w:rStyle w:val="Hyperlink"/>
            <w:rFonts w:ascii="Arial" w:hAnsi="Arial" w:cs="Arial"/>
          </w:rPr>
          <w:t>https://doi.org/10.1641/B571007</w:t>
        </w:r>
      </w:hyperlink>
    </w:p>
    <w:p w14:paraId="48AAF00F" w14:textId="77777777" w:rsidR="00EF3821" w:rsidRDefault="00EF3821" w:rsidP="00EE174C">
      <w:pPr>
        <w:spacing w:after="120" w:line="276" w:lineRule="auto"/>
        <w:jc w:val="both"/>
        <w:rPr>
          <w:rFonts w:ascii="Arial" w:hAnsi="Arial" w:cs="Arial"/>
        </w:rPr>
      </w:pPr>
      <w:r w:rsidRPr="00EF3821">
        <w:rPr>
          <w:rFonts w:ascii="Arial" w:hAnsi="Arial" w:cs="Arial"/>
        </w:rPr>
        <w:t>Grierson, A.J.C. and Long, D.G. (1983-2001) Flora of Bhutan. Vol. 1, Part 1-3; Vol. 2, Part 1-3; Vol. 3, Part 1-3, Royal Botanical Garden Edinburgh and Royal Government of Bhutan.</w:t>
      </w:r>
    </w:p>
    <w:p w14:paraId="2D6A565F" w14:textId="330B0426" w:rsidR="002C48C9" w:rsidRPr="002C48C9" w:rsidRDefault="002C48C9" w:rsidP="00EE174C">
      <w:pPr>
        <w:spacing w:after="120" w:line="276" w:lineRule="auto"/>
        <w:jc w:val="both"/>
        <w:rPr>
          <w:rFonts w:ascii="Arial" w:hAnsi="Arial" w:cs="Arial"/>
        </w:rPr>
      </w:pPr>
      <w:proofErr w:type="spellStart"/>
      <w:r w:rsidRPr="002C48C9">
        <w:rPr>
          <w:rFonts w:ascii="Arial" w:hAnsi="Arial" w:cs="Arial"/>
        </w:rPr>
        <w:t>Grytnes</w:t>
      </w:r>
      <w:proofErr w:type="spellEnd"/>
      <w:r w:rsidRPr="002C48C9">
        <w:rPr>
          <w:rFonts w:ascii="Arial" w:hAnsi="Arial" w:cs="Arial"/>
        </w:rPr>
        <w:t xml:space="preserve">, J.-A., &amp; </w:t>
      </w:r>
      <w:proofErr w:type="spellStart"/>
      <w:r w:rsidRPr="002C48C9">
        <w:rPr>
          <w:rFonts w:ascii="Arial" w:hAnsi="Arial" w:cs="Arial"/>
        </w:rPr>
        <w:t>Vetaas</w:t>
      </w:r>
      <w:proofErr w:type="spellEnd"/>
      <w:r w:rsidRPr="002C48C9">
        <w:rPr>
          <w:rFonts w:ascii="Arial" w:hAnsi="Arial" w:cs="Arial"/>
        </w:rPr>
        <w:t xml:space="preserve">, O. R. (2002). Species richness and altitude: A comparison between null models and interpolated plant species richness along the Himalayan </w:t>
      </w:r>
      <w:r w:rsidRPr="002C48C9">
        <w:rPr>
          <w:rFonts w:ascii="Arial" w:hAnsi="Arial" w:cs="Arial"/>
        </w:rPr>
        <w:lastRenderedPageBreak/>
        <w:t xml:space="preserve">altitudinal gradient, Nepal. </w:t>
      </w:r>
      <w:r w:rsidRPr="002C48C9">
        <w:rPr>
          <w:rFonts w:ascii="Arial" w:hAnsi="Arial" w:cs="Arial"/>
          <w:i/>
          <w:iCs/>
        </w:rPr>
        <w:t>The American Naturalist</w:t>
      </w:r>
      <w:r w:rsidRPr="002C48C9">
        <w:rPr>
          <w:rFonts w:ascii="Arial" w:hAnsi="Arial" w:cs="Arial"/>
        </w:rPr>
        <w:t xml:space="preserve">, 159, 294–304. </w:t>
      </w:r>
      <w:hyperlink r:id="rId15" w:tgtFrame="_new" w:history="1">
        <w:r w:rsidRPr="002C48C9">
          <w:rPr>
            <w:rStyle w:val="Hyperlink"/>
            <w:rFonts w:ascii="Arial" w:hAnsi="Arial" w:cs="Arial"/>
          </w:rPr>
          <w:t>https://doi.org/10.1086/338542</w:t>
        </w:r>
      </w:hyperlink>
    </w:p>
    <w:p w14:paraId="2B1CFA37"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Körner, C. (2007). The use of “altitude” in ecological research. </w:t>
      </w:r>
      <w:r w:rsidRPr="002B5699">
        <w:rPr>
          <w:rFonts w:ascii="Arial" w:hAnsi="Arial" w:cs="Arial"/>
          <w:i/>
          <w:iCs/>
        </w:rPr>
        <w:t>Trends in Ecology &amp; Evolution, 22</w:t>
      </w:r>
      <w:r w:rsidRPr="002B5699">
        <w:rPr>
          <w:rFonts w:ascii="Arial" w:hAnsi="Arial" w:cs="Arial"/>
        </w:rPr>
        <w:t xml:space="preserve">, 569–574. </w:t>
      </w:r>
      <w:hyperlink r:id="rId16" w:tgtFrame="_new" w:history="1">
        <w:r w:rsidRPr="002B5699">
          <w:rPr>
            <w:rStyle w:val="Hyperlink"/>
            <w:rFonts w:ascii="Arial" w:hAnsi="Arial" w:cs="Arial"/>
          </w:rPr>
          <w:t>https://doi.org/10.1016/j.tree.2007.09.006</w:t>
        </w:r>
      </w:hyperlink>
    </w:p>
    <w:p w14:paraId="11B7DEA9"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Kraft, N. J. B., Godoy, O., &amp; Levine, J. M. (2015). Plant functional traits and the multidimensional nature of species coexistence. </w:t>
      </w:r>
      <w:r w:rsidRPr="002B5699">
        <w:rPr>
          <w:rFonts w:ascii="Arial" w:hAnsi="Arial" w:cs="Arial"/>
          <w:i/>
          <w:iCs/>
        </w:rPr>
        <w:t>Proceedings of the National Academy of Sciences of the United States of America, 112</w:t>
      </w:r>
      <w:r w:rsidRPr="002B5699">
        <w:rPr>
          <w:rFonts w:ascii="Arial" w:hAnsi="Arial" w:cs="Arial"/>
        </w:rPr>
        <w:t xml:space="preserve">, 797–802. </w:t>
      </w:r>
      <w:hyperlink r:id="rId17" w:tgtFrame="_new" w:history="1">
        <w:r w:rsidRPr="002B5699">
          <w:rPr>
            <w:rStyle w:val="Hyperlink"/>
            <w:rFonts w:ascii="Arial" w:hAnsi="Arial" w:cs="Arial"/>
          </w:rPr>
          <w:t>https://doi.org/10.1073/pnas.1413650112</w:t>
        </w:r>
      </w:hyperlink>
    </w:p>
    <w:p w14:paraId="55E5A23B"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Kruskal, J. B. (1964). Nonmetric multidimensional scaling: A numerical method. </w:t>
      </w:r>
      <w:r w:rsidRPr="002B5699">
        <w:rPr>
          <w:rFonts w:ascii="Arial" w:hAnsi="Arial" w:cs="Arial"/>
          <w:i/>
          <w:iCs/>
        </w:rPr>
        <w:t>Psychometrika, 29</w:t>
      </w:r>
      <w:r w:rsidRPr="002B5699">
        <w:rPr>
          <w:rFonts w:ascii="Arial" w:hAnsi="Arial" w:cs="Arial"/>
        </w:rPr>
        <w:t xml:space="preserve">, 115–129. </w:t>
      </w:r>
      <w:hyperlink r:id="rId18" w:tgtFrame="_new" w:history="1">
        <w:r w:rsidRPr="002B5699">
          <w:rPr>
            <w:rStyle w:val="Hyperlink"/>
            <w:rFonts w:ascii="Arial" w:hAnsi="Arial" w:cs="Arial"/>
          </w:rPr>
          <w:t>https://doi.org/10.1007/BF02289694</w:t>
        </w:r>
      </w:hyperlink>
    </w:p>
    <w:p w14:paraId="658D8B0C"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Lenoir, J., </w:t>
      </w:r>
      <w:proofErr w:type="spellStart"/>
      <w:r w:rsidRPr="002B5699">
        <w:rPr>
          <w:rFonts w:ascii="Arial" w:hAnsi="Arial" w:cs="Arial"/>
        </w:rPr>
        <w:t>Gégout</w:t>
      </w:r>
      <w:proofErr w:type="spellEnd"/>
      <w:r w:rsidRPr="002B5699">
        <w:rPr>
          <w:rFonts w:ascii="Arial" w:hAnsi="Arial" w:cs="Arial"/>
        </w:rPr>
        <w:t xml:space="preserve">, J.-C., Marquet, P. A., de </w:t>
      </w:r>
      <w:proofErr w:type="spellStart"/>
      <w:r w:rsidRPr="002B5699">
        <w:rPr>
          <w:rFonts w:ascii="Arial" w:hAnsi="Arial" w:cs="Arial"/>
        </w:rPr>
        <w:t>Ruffray</w:t>
      </w:r>
      <w:proofErr w:type="spellEnd"/>
      <w:r w:rsidRPr="002B5699">
        <w:rPr>
          <w:rFonts w:ascii="Arial" w:hAnsi="Arial" w:cs="Arial"/>
        </w:rPr>
        <w:t xml:space="preserve">, P., &amp; </w:t>
      </w:r>
      <w:proofErr w:type="spellStart"/>
      <w:r w:rsidRPr="002B5699">
        <w:rPr>
          <w:rFonts w:ascii="Arial" w:hAnsi="Arial" w:cs="Arial"/>
        </w:rPr>
        <w:t>Brisse</w:t>
      </w:r>
      <w:proofErr w:type="spellEnd"/>
      <w:r w:rsidRPr="002B5699">
        <w:rPr>
          <w:rFonts w:ascii="Arial" w:hAnsi="Arial" w:cs="Arial"/>
        </w:rPr>
        <w:t xml:space="preserve">, H. (2008). A significant upward shift in plant species optimum elevation during the twentieth century. </w:t>
      </w:r>
      <w:r w:rsidRPr="002B5699">
        <w:rPr>
          <w:rFonts w:ascii="Arial" w:hAnsi="Arial" w:cs="Arial"/>
          <w:i/>
          <w:iCs/>
        </w:rPr>
        <w:t>Science, 320</w:t>
      </w:r>
      <w:r w:rsidRPr="002B5699">
        <w:rPr>
          <w:rFonts w:ascii="Arial" w:hAnsi="Arial" w:cs="Arial"/>
        </w:rPr>
        <w:t xml:space="preserve">, 1768–1771. </w:t>
      </w:r>
      <w:hyperlink r:id="rId19" w:tgtFrame="_new" w:history="1">
        <w:r w:rsidRPr="002B5699">
          <w:rPr>
            <w:rStyle w:val="Hyperlink"/>
            <w:rFonts w:ascii="Arial" w:hAnsi="Arial" w:cs="Arial"/>
          </w:rPr>
          <w:t>https://doi.org/10.1126/science.1156831</w:t>
        </w:r>
      </w:hyperlink>
    </w:p>
    <w:p w14:paraId="021C2E7E" w14:textId="77777777" w:rsidR="002B5699" w:rsidRPr="002B5699" w:rsidRDefault="002B5699" w:rsidP="00EE174C">
      <w:pPr>
        <w:spacing w:after="120" w:line="276" w:lineRule="auto"/>
        <w:jc w:val="both"/>
        <w:rPr>
          <w:rFonts w:ascii="Arial" w:hAnsi="Arial" w:cs="Arial"/>
        </w:rPr>
      </w:pPr>
      <w:proofErr w:type="spellStart"/>
      <w:r w:rsidRPr="002B5699">
        <w:rPr>
          <w:rFonts w:ascii="Arial" w:hAnsi="Arial" w:cs="Arial"/>
        </w:rPr>
        <w:t>Lomolino</w:t>
      </w:r>
      <w:proofErr w:type="spellEnd"/>
      <w:r w:rsidRPr="002B5699">
        <w:rPr>
          <w:rFonts w:ascii="Arial" w:hAnsi="Arial" w:cs="Arial"/>
        </w:rPr>
        <w:t xml:space="preserve">, M. V. (2001). Elevation gradients of species density: Historical and prospective views. </w:t>
      </w:r>
      <w:r w:rsidRPr="002B5699">
        <w:rPr>
          <w:rFonts w:ascii="Arial" w:hAnsi="Arial" w:cs="Arial"/>
          <w:i/>
          <w:iCs/>
        </w:rPr>
        <w:t>Global Ecology and Biogeography, 10</w:t>
      </w:r>
      <w:r w:rsidRPr="002B5699">
        <w:rPr>
          <w:rFonts w:ascii="Arial" w:hAnsi="Arial" w:cs="Arial"/>
        </w:rPr>
        <w:t xml:space="preserve">, 3–13. </w:t>
      </w:r>
      <w:hyperlink r:id="rId20" w:tgtFrame="_new" w:history="1">
        <w:r w:rsidRPr="002B5699">
          <w:rPr>
            <w:rStyle w:val="Hyperlink"/>
            <w:rFonts w:ascii="Arial" w:hAnsi="Arial" w:cs="Arial"/>
          </w:rPr>
          <w:t>https://doi.org/10.1046/j.1466-822X.2001.00229.x</w:t>
        </w:r>
      </w:hyperlink>
    </w:p>
    <w:p w14:paraId="0E30572B"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McCain, C. M. (2009). Global analysis of bird elevational diversity. </w:t>
      </w:r>
      <w:r w:rsidRPr="002B5699">
        <w:rPr>
          <w:rFonts w:ascii="Arial" w:hAnsi="Arial" w:cs="Arial"/>
          <w:i/>
          <w:iCs/>
        </w:rPr>
        <w:t>Global Ecology and Biogeography, 18</w:t>
      </w:r>
      <w:r w:rsidRPr="002B5699">
        <w:rPr>
          <w:rFonts w:ascii="Arial" w:hAnsi="Arial" w:cs="Arial"/>
        </w:rPr>
        <w:t xml:space="preserve">, 346–360. </w:t>
      </w:r>
      <w:hyperlink r:id="rId21" w:tgtFrame="_new" w:history="1">
        <w:r w:rsidRPr="002B5699">
          <w:rPr>
            <w:rStyle w:val="Hyperlink"/>
            <w:rFonts w:ascii="Arial" w:hAnsi="Arial" w:cs="Arial"/>
          </w:rPr>
          <w:t>https://doi.org/10.1111/j.1466-8238.2008.00443.x</w:t>
        </w:r>
      </w:hyperlink>
    </w:p>
    <w:p w14:paraId="6F8CB35C"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Myers, N., Mittermeier, R. A., Mittermeier, C. G., da Fonseca, G. A. B., &amp; Kent, J. (2000). Biodiversity hotspots for conservation priorities. </w:t>
      </w:r>
      <w:r w:rsidRPr="002B5699">
        <w:rPr>
          <w:rFonts w:ascii="Arial" w:hAnsi="Arial" w:cs="Arial"/>
          <w:i/>
          <w:iCs/>
        </w:rPr>
        <w:t>Nature, 403</w:t>
      </w:r>
      <w:r w:rsidRPr="002B5699">
        <w:rPr>
          <w:rFonts w:ascii="Arial" w:hAnsi="Arial" w:cs="Arial"/>
        </w:rPr>
        <w:t xml:space="preserve">, 853–858. </w:t>
      </w:r>
      <w:hyperlink r:id="rId22" w:tgtFrame="_new" w:history="1">
        <w:r w:rsidRPr="002B5699">
          <w:rPr>
            <w:rStyle w:val="Hyperlink"/>
            <w:rFonts w:ascii="Arial" w:hAnsi="Arial" w:cs="Arial"/>
          </w:rPr>
          <w:t>https://doi.org/10.1038/35002501</w:t>
        </w:r>
      </w:hyperlink>
    </w:p>
    <w:p w14:paraId="03C9BDBF"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Ohsawa, M. (1995). Latitudinal pattern of mountain vegetation zonation in eastern Asia and its relation to climate. </w:t>
      </w:r>
      <w:r w:rsidRPr="002B5699">
        <w:rPr>
          <w:rFonts w:ascii="Arial" w:hAnsi="Arial" w:cs="Arial"/>
          <w:i/>
          <w:iCs/>
        </w:rPr>
        <w:t>Vegetatio, 121</w:t>
      </w:r>
      <w:r w:rsidRPr="002B5699">
        <w:rPr>
          <w:rFonts w:ascii="Arial" w:hAnsi="Arial" w:cs="Arial"/>
        </w:rPr>
        <w:t xml:space="preserve">, 3–10. </w:t>
      </w:r>
      <w:hyperlink r:id="rId23" w:tgtFrame="_new" w:history="1">
        <w:r w:rsidRPr="002B5699">
          <w:rPr>
            <w:rStyle w:val="Hyperlink"/>
            <w:rFonts w:ascii="Arial" w:hAnsi="Arial" w:cs="Arial"/>
          </w:rPr>
          <w:t>https://doi.org/10.1007/BF00044667</w:t>
        </w:r>
      </w:hyperlink>
    </w:p>
    <w:p w14:paraId="6D80FC76"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Pielou, E. C. (1966). The measurement of diversity in different types of biological collections. </w:t>
      </w:r>
      <w:r w:rsidRPr="002B5699">
        <w:rPr>
          <w:rFonts w:ascii="Arial" w:hAnsi="Arial" w:cs="Arial"/>
          <w:i/>
          <w:iCs/>
        </w:rPr>
        <w:t>Journal of Theoretical Biology, 13</w:t>
      </w:r>
      <w:r w:rsidRPr="002B5699">
        <w:rPr>
          <w:rFonts w:ascii="Arial" w:hAnsi="Arial" w:cs="Arial"/>
        </w:rPr>
        <w:t xml:space="preserve">, 131–144. </w:t>
      </w:r>
      <w:hyperlink r:id="rId24" w:tgtFrame="_new" w:history="1">
        <w:r w:rsidRPr="002B5699">
          <w:rPr>
            <w:rStyle w:val="Hyperlink"/>
            <w:rFonts w:ascii="Arial" w:hAnsi="Arial" w:cs="Arial"/>
          </w:rPr>
          <w:t>https://doi.org/10.1016/0022-5193(66)90013-0</w:t>
        </w:r>
      </w:hyperlink>
    </w:p>
    <w:p w14:paraId="08621DED"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Qian, H., Ricklefs, R. E., &amp; White, P. S. (2005). Beta diversity of angiosperms in temperate floras of eastern Asia and eastern North America. </w:t>
      </w:r>
      <w:r w:rsidRPr="002B5699">
        <w:rPr>
          <w:rFonts w:ascii="Arial" w:hAnsi="Arial" w:cs="Arial"/>
          <w:i/>
          <w:iCs/>
        </w:rPr>
        <w:t>Ecology Letters, 8</w:t>
      </w:r>
      <w:r w:rsidRPr="002B5699">
        <w:rPr>
          <w:rFonts w:ascii="Arial" w:hAnsi="Arial" w:cs="Arial"/>
        </w:rPr>
        <w:t xml:space="preserve">, 15–22. </w:t>
      </w:r>
      <w:hyperlink r:id="rId25" w:tgtFrame="_new" w:history="1">
        <w:r w:rsidRPr="002B5699">
          <w:rPr>
            <w:rStyle w:val="Hyperlink"/>
            <w:rFonts w:ascii="Arial" w:hAnsi="Arial" w:cs="Arial"/>
          </w:rPr>
          <w:t>https://doi.org/10.1111/j.1461-0248.2004.00682.x</w:t>
        </w:r>
      </w:hyperlink>
    </w:p>
    <w:p w14:paraId="3722C5AB" w14:textId="77777777" w:rsidR="002B5699" w:rsidRPr="002B5699" w:rsidRDefault="002B5699" w:rsidP="00EE174C">
      <w:pPr>
        <w:spacing w:after="120" w:line="276" w:lineRule="auto"/>
        <w:jc w:val="both"/>
        <w:rPr>
          <w:rFonts w:ascii="Arial" w:hAnsi="Arial" w:cs="Arial"/>
        </w:rPr>
      </w:pPr>
      <w:r w:rsidRPr="002B5699">
        <w:rPr>
          <w:rFonts w:ascii="Arial" w:hAnsi="Arial" w:cs="Arial"/>
        </w:rPr>
        <w:t>Rahbek, C. (2005). The role of spatial scale and the perception of large</w:t>
      </w:r>
      <w:r w:rsidRPr="002B5699">
        <w:rPr>
          <w:rFonts w:ascii="Cambria Math" w:hAnsi="Cambria Math" w:cs="Cambria Math"/>
        </w:rPr>
        <w:t>‐</w:t>
      </w:r>
      <w:r w:rsidRPr="002B5699">
        <w:rPr>
          <w:rFonts w:ascii="Arial" w:hAnsi="Arial" w:cs="Arial"/>
        </w:rPr>
        <w:t>scale species</w:t>
      </w:r>
      <w:r w:rsidRPr="002B5699">
        <w:rPr>
          <w:rFonts w:ascii="Cambria Math" w:hAnsi="Cambria Math" w:cs="Cambria Math"/>
        </w:rPr>
        <w:t>‐</w:t>
      </w:r>
      <w:r w:rsidRPr="002B5699">
        <w:rPr>
          <w:rFonts w:ascii="Arial" w:hAnsi="Arial" w:cs="Arial"/>
        </w:rPr>
        <w:t xml:space="preserve">richness patterns. </w:t>
      </w:r>
      <w:r w:rsidRPr="002B5699">
        <w:rPr>
          <w:rFonts w:ascii="Arial" w:hAnsi="Arial" w:cs="Arial"/>
          <w:i/>
          <w:iCs/>
        </w:rPr>
        <w:t>Ecology Letters, 8</w:t>
      </w:r>
      <w:r w:rsidRPr="002B5699">
        <w:rPr>
          <w:rFonts w:ascii="Arial" w:hAnsi="Arial" w:cs="Arial"/>
        </w:rPr>
        <w:t xml:space="preserve">, 224–239. </w:t>
      </w:r>
      <w:hyperlink r:id="rId26" w:tgtFrame="_new" w:history="1">
        <w:r w:rsidRPr="002B5699">
          <w:rPr>
            <w:rStyle w:val="Hyperlink"/>
            <w:rFonts w:ascii="Arial" w:hAnsi="Arial" w:cs="Arial"/>
          </w:rPr>
          <w:t>https://doi.org/10.1111/j.1461-0248.2004.00701.x</w:t>
        </w:r>
      </w:hyperlink>
    </w:p>
    <w:p w14:paraId="4C061048"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Shannon, C. E. (1948). A mathematical theory of communication. </w:t>
      </w:r>
      <w:r w:rsidRPr="002B5699">
        <w:rPr>
          <w:rFonts w:ascii="Arial" w:hAnsi="Arial" w:cs="Arial"/>
          <w:i/>
          <w:iCs/>
        </w:rPr>
        <w:t>Bell System Technical Journal, 27</w:t>
      </w:r>
      <w:r w:rsidRPr="002B5699">
        <w:rPr>
          <w:rFonts w:ascii="Arial" w:hAnsi="Arial" w:cs="Arial"/>
        </w:rPr>
        <w:t xml:space="preserve">, 379–423. </w:t>
      </w:r>
      <w:hyperlink r:id="rId27" w:tgtFrame="_new" w:history="1">
        <w:r w:rsidRPr="002B5699">
          <w:rPr>
            <w:rStyle w:val="Hyperlink"/>
            <w:rFonts w:ascii="Arial" w:hAnsi="Arial" w:cs="Arial"/>
          </w:rPr>
          <w:t>https://doi.org/10.1002/j.1538-7305.1948.tb01338.x</w:t>
        </w:r>
      </w:hyperlink>
    </w:p>
    <w:p w14:paraId="1FAB67DC"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Simpson, E. H. (1949). Measurement of diversity. </w:t>
      </w:r>
      <w:r w:rsidRPr="002B5699">
        <w:rPr>
          <w:rFonts w:ascii="Arial" w:hAnsi="Arial" w:cs="Arial"/>
          <w:i/>
          <w:iCs/>
        </w:rPr>
        <w:t>Nature, 163</w:t>
      </w:r>
      <w:r w:rsidRPr="002B5699">
        <w:rPr>
          <w:rFonts w:ascii="Arial" w:hAnsi="Arial" w:cs="Arial"/>
        </w:rPr>
        <w:t xml:space="preserve">, 688. </w:t>
      </w:r>
      <w:hyperlink r:id="rId28" w:tgtFrame="_new" w:history="1">
        <w:r w:rsidRPr="002B5699">
          <w:rPr>
            <w:rStyle w:val="Hyperlink"/>
            <w:rFonts w:ascii="Arial" w:hAnsi="Arial" w:cs="Arial"/>
          </w:rPr>
          <w:t>https://doi.org/10.1038/163688a0</w:t>
        </w:r>
      </w:hyperlink>
    </w:p>
    <w:p w14:paraId="0DBC2443" w14:textId="77777777" w:rsidR="002B5699" w:rsidRPr="002B5699" w:rsidRDefault="002B5699" w:rsidP="00EE174C">
      <w:pPr>
        <w:spacing w:after="120" w:line="276" w:lineRule="auto"/>
        <w:jc w:val="both"/>
        <w:rPr>
          <w:rFonts w:ascii="Arial" w:hAnsi="Arial" w:cs="Arial"/>
        </w:rPr>
      </w:pPr>
      <w:r w:rsidRPr="002B5699">
        <w:rPr>
          <w:rFonts w:ascii="Arial" w:hAnsi="Arial" w:cs="Arial"/>
        </w:rPr>
        <w:lastRenderedPageBreak/>
        <w:t>Siefert, A., Ravenscroft, C., Weiser, M. D., &amp; Cleland, E. E. (2013). Functional beta</w:t>
      </w:r>
      <w:r w:rsidRPr="002B5699">
        <w:rPr>
          <w:rFonts w:ascii="Cambria Math" w:hAnsi="Cambria Math" w:cs="Cambria Math"/>
        </w:rPr>
        <w:t>‐</w:t>
      </w:r>
      <w:r w:rsidRPr="002B5699">
        <w:rPr>
          <w:rFonts w:ascii="Arial" w:hAnsi="Arial" w:cs="Arial"/>
        </w:rPr>
        <w:t xml:space="preserve">diversity patterns reveal deterministic community assembly processes in eastern North American trees. </w:t>
      </w:r>
      <w:r w:rsidRPr="002B5699">
        <w:rPr>
          <w:rFonts w:ascii="Arial" w:hAnsi="Arial" w:cs="Arial"/>
          <w:i/>
          <w:iCs/>
        </w:rPr>
        <w:t>Global Ecology and Biogeography, 22</w:t>
      </w:r>
      <w:r w:rsidRPr="002B5699">
        <w:rPr>
          <w:rFonts w:ascii="Arial" w:hAnsi="Arial" w:cs="Arial"/>
        </w:rPr>
        <w:t xml:space="preserve">, 682–691. </w:t>
      </w:r>
      <w:hyperlink r:id="rId29" w:tgtFrame="_new" w:history="1">
        <w:r w:rsidRPr="002B5699">
          <w:rPr>
            <w:rStyle w:val="Hyperlink"/>
            <w:rFonts w:ascii="Arial" w:hAnsi="Arial" w:cs="Arial"/>
          </w:rPr>
          <w:t>https://doi.org/10.1111/geb.12030</w:t>
        </w:r>
      </w:hyperlink>
    </w:p>
    <w:p w14:paraId="05C7E0CE"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Sundqvist, M. K., Sanders, N. J., &amp; Wardle, D. A. (2013). Community and ecosystem responses to elevational gradients. </w:t>
      </w:r>
      <w:r w:rsidRPr="002B5699">
        <w:rPr>
          <w:rFonts w:ascii="Arial" w:hAnsi="Arial" w:cs="Arial"/>
          <w:i/>
          <w:iCs/>
        </w:rPr>
        <w:t>Annual Review of Ecology, Evolution, and Systematics, 44</w:t>
      </w:r>
      <w:r w:rsidRPr="002B5699">
        <w:rPr>
          <w:rFonts w:ascii="Arial" w:hAnsi="Arial" w:cs="Arial"/>
        </w:rPr>
        <w:t xml:space="preserve">, 261–280. </w:t>
      </w:r>
      <w:hyperlink r:id="rId30" w:tgtFrame="_new" w:history="1">
        <w:r w:rsidRPr="002B5699">
          <w:rPr>
            <w:rStyle w:val="Hyperlink"/>
            <w:rFonts w:ascii="Arial" w:hAnsi="Arial" w:cs="Arial"/>
          </w:rPr>
          <w:t>https://doi.org/10.1146/annurev-ecolsys-110512-135750</w:t>
        </w:r>
      </w:hyperlink>
    </w:p>
    <w:p w14:paraId="6007F6BB" w14:textId="77777777" w:rsidR="002B5699" w:rsidRPr="002B5699" w:rsidRDefault="002B5699" w:rsidP="00EE174C">
      <w:pPr>
        <w:spacing w:after="120" w:line="276" w:lineRule="auto"/>
        <w:jc w:val="both"/>
        <w:rPr>
          <w:rFonts w:ascii="Arial" w:hAnsi="Arial" w:cs="Arial"/>
        </w:rPr>
      </w:pPr>
      <w:r w:rsidRPr="002B5699">
        <w:rPr>
          <w:rFonts w:ascii="Arial" w:hAnsi="Arial" w:cs="Arial"/>
        </w:rPr>
        <w:t xml:space="preserve">ter Braak, C. J. F. (1986). Canonical correspondence analysis: A new eigenvector technique for multivariate direct gradient analysis. </w:t>
      </w:r>
      <w:r w:rsidRPr="002B5699">
        <w:rPr>
          <w:rFonts w:ascii="Arial" w:hAnsi="Arial" w:cs="Arial"/>
          <w:i/>
          <w:iCs/>
        </w:rPr>
        <w:t>Ecology, 67</w:t>
      </w:r>
      <w:r w:rsidRPr="002B5699">
        <w:rPr>
          <w:rFonts w:ascii="Arial" w:hAnsi="Arial" w:cs="Arial"/>
        </w:rPr>
        <w:t xml:space="preserve">, 1167–1179. </w:t>
      </w:r>
      <w:hyperlink r:id="rId31" w:tgtFrame="_new" w:history="1">
        <w:r w:rsidRPr="002B5699">
          <w:rPr>
            <w:rStyle w:val="Hyperlink"/>
            <w:rFonts w:ascii="Arial" w:hAnsi="Arial" w:cs="Arial"/>
          </w:rPr>
          <w:t>https://doi.org/10.2307/1938672</w:t>
        </w:r>
      </w:hyperlink>
    </w:p>
    <w:p w14:paraId="64D89A61" w14:textId="67B089B0" w:rsidR="003F2760" w:rsidRDefault="003F2760" w:rsidP="00EE174C">
      <w:pPr>
        <w:spacing w:after="120" w:line="276" w:lineRule="auto"/>
        <w:jc w:val="both"/>
        <w:rPr>
          <w:rFonts w:ascii="Arial" w:hAnsi="Arial" w:cs="Arial"/>
        </w:rPr>
      </w:pPr>
      <w:proofErr w:type="spellStart"/>
      <w:r w:rsidRPr="003F2760">
        <w:rPr>
          <w:rFonts w:ascii="Arial" w:hAnsi="Arial" w:cs="Arial"/>
        </w:rPr>
        <w:t>Wangda</w:t>
      </w:r>
      <w:proofErr w:type="spellEnd"/>
      <w:r w:rsidRPr="003F2760">
        <w:rPr>
          <w:rFonts w:ascii="Arial" w:hAnsi="Arial" w:cs="Arial"/>
        </w:rPr>
        <w:t xml:space="preserve">, P., Ohsawa, M. Gradational Forest Change along the Climatically Dry Valley Slopes of Bhutan in the Midst of Humid Eastern Himalaya. Plant </w:t>
      </w:r>
      <w:proofErr w:type="spellStart"/>
      <w:r w:rsidRPr="003F2760">
        <w:rPr>
          <w:rFonts w:ascii="Arial" w:hAnsi="Arial" w:cs="Arial"/>
        </w:rPr>
        <w:t>Ecol</w:t>
      </w:r>
      <w:proofErr w:type="spellEnd"/>
      <w:r w:rsidRPr="003F2760">
        <w:rPr>
          <w:rFonts w:ascii="Arial" w:hAnsi="Arial" w:cs="Arial"/>
        </w:rPr>
        <w:t xml:space="preserve"> 186, 109–128 (</w:t>
      </w:r>
      <w:proofErr w:type="spellStart"/>
      <w:r w:rsidRPr="003F2760">
        <w:rPr>
          <w:rFonts w:ascii="Arial" w:hAnsi="Arial" w:cs="Arial"/>
        </w:rPr>
        <w:t>2006</w:t>
      </w:r>
      <w:r>
        <w:rPr>
          <w:rFonts w:ascii="Arial" w:hAnsi="Arial" w:cs="Arial"/>
        </w:rPr>
        <w:t>a</w:t>
      </w:r>
      <w:proofErr w:type="spellEnd"/>
      <w:r w:rsidRPr="003F2760">
        <w:rPr>
          <w:rFonts w:ascii="Arial" w:hAnsi="Arial" w:cs="Arial"/>
        </w:rPr>
        <w:t xml:space="preserve">). </w:t>
      </w:r>
      <w:hyperlink r:id="rId32" w:history="1">
        <w:r w:rsidRPr="0031146F">
          <w:rPr>
            <w:rStyle w:val="Hyperlink"/>
            <w:rFonts w:ascii="Arial" w:hAnsi="Arial" w:cs="Arial"/>
          </w:rPr>
          <w:t>https://doi.org/10.1007/s11258-006-9116-5</w:t>
        </w:r>
      </w:hyperlink>
    </w:p>
    <w:p w14:paraId="2629F321" w14:textId="0FD28780" w:rsidR="002B5699" w:rsidRPr="002B5699" w:rsidRDefault="002B5699" w:rsidP="00EE174C">
      <w:pPr>
        <w:spacing w:after="120" w:line="276" w:lineRule="auto"/>
        <w:jc w:val="both"/>
        <w:rPr>
          <w:rFonts w:ascii="Arial" w:hAnsi="Arial" w:cs="Arial"/>
        </w:rPr>
      </w:pPr>
      <w:proofErr w:type="spellStart"/>
      <w:r w:rsidRPr="002B5699">
        <w:rPr>
          <w:rFonts w:ascii="Arial" w:hAnsi="Arial" w:cs="Arial"/>
        </w:rPr>
        <w:t>Wangda</w:t>
      </w:r>
      <w:proofErr w:type="spellEnd"/>
      <w:r w:rsidRPr="002B5699">
        <w:rPr>
          <w:rFonts w:ascii="Arial" w:hAnsi="Arial" w:cs="Arial"/>
        </w:rPr>
        <w:t>, P., &amp; Ohsawa, M. (</w:t>
      </w:r>
      <w:proofErr w:type="spellStart"/>
      <w:r w:rsidRPr="002B5699">
        <w:rPr>
          <w:rFonts w:ascii="Arial" w:hAnsi="Arial" w:cs="Arial"/>
        </w:rPr>
        <w:t>2006</w:t>
      </w:r>
      <w:r w:rsidR="00B34657">
        <w:rPr>
          <w:rFonts w:ascii="Arial" w:hAnsi="Arial" w:cs="Arial"/>
        </w:rPr>
        <w:t>b</w:t>
      </w:r>
      <w:proofErr w:type="spellEnd"/>
      <w:r w:rsidRPr="002B5699">
        <w:rPr>
          <w:rFonts w:ascii="Arial" w:hAnsi="Arial" w:cs="Arial"/>
        </w:rPr>
        <w:t xml:space="preserve">). Structure and regeneration dynamics of dominant tree species along an altitudinal gradient in dry valley slopes of the Bhutan Himalaya. </w:t>
      </w:r>
      <w:r w:rsidRPr="002B5699">
        <w:rPr>
          <w:rFonts w:ascii="Arial" w:hAnsi="Arial" w:cs="Arial"/>
          <w:i/>
          <w:iCs/>
        </w:rPr>
        <w:t>Forest Ecology and Management, 230</w:t>
      </w:r>
      <w:r w:rsidRPr="002B5699">
        <w:rPr>
          <w:rFonts w:ascii="Arial" w:hAnsi="Arial" w:cs="Arial"/>
        </w:rPr>
        <w:t xml:space="preserve">, 136–150. </w:t>
      </w:r>
      <w:hyperlink r:id="rId33" w:history="1">
        <w:r w:rsidR="00B34657" w:rsidRPr="0031146F">
          <w:rPr>
            <w:rStyle w:val="Hyperlink"/>
          </w:rPr>
          <w:t>https://doi.org/10.1016/j.foreco.2006.04.027</w:t>
        </w:r>
      </w:hyperlink>
      <w:r w:rsidR="00B34657">
        <w:t xml:space="preserve">. </w:t>
      </w:r>
    </w:p>
    <w:p w14:paraId="7DC21FEF" w14:textId="77777777" w:rsidR="001B083A" w:rsidRPr="001B083A" w:rsidRDefault="001B083A" w:rsidP="00EE174C">
      <w:pPr>
        <w:spacing w:after="120"/>
        <w:jc w:val="both"/>
        <w:rPr>
          <w:rFonts w:ascii="Arial" w:hAnsi="Arial" w:cs="Arial"/>
        </w:rPr>
      </w:pPr>
    </w:p>
    <w:p w14:paraId="6A63181C" w14:textId="77777777" w:rsidR="008E3F19" w:rsidRDefault="008E3F19" w:rsidP="00EE174C">
      <w:pPr>
        <w:spacing w:after="120"/>
      </w:pPr>
    </w:p>
    <w:p w14:paraId="118F2D20" w14:textId="77777777" w:rsidR="008E3F19" w:rsidRDefault="008E3F19" w:rsidP="00EE174C">
      <w:pPr>
        <w:spacing w:after="120"/>
      </w:pPr>
    </w:p>
    <w:p w14:paraId="1BC099E9" w14:textId="77777777" w:rsidR="008E3F19" w:rsidRDefault="008E3F19" w:rsidP="00EE174C">
      <w:pPr>
        <w:spacing w:after="120"/>
      </w:pPr>
    </w:p>
    <w:p w14:paraId="3121255D" w14:textId="77777777" w:rsidR="008E3F19" w:rsidRDefault="008E3F19" w:rsidP="00513AD4"/>
    <w:p w14:paraId="119FF9BC" w14:textId="77777777" w:rsidR="008E3F19" w:rsidRDefault="008E3F19" w:rsidP="00513AD4"/>
    <w:p w14:paraId="43A6B4ED" w14:textId="77777777" w:rsidR="008E3F19" w:rsidRDefault="008E3F19" w:rsidP="00513AD4"/>
    <w:p w14:paraId="28FE4757" w14:textId="77777777" w:rsidR="008E3F19" w:rsidRDefault="008E3F19" w:rsidP="00513AD4"/>
    <w:p w14:paraId="2C3734E2" w14:textId="77777777" w:rsidR="008E3F19" w:rsidRDefault="008E3F19" w:rsidP="00513AD4"/>
    <w:p w14:paraId="2DA50E85" w14:textId="77777777" w:rsidR="008E3F19" w:rsidRDefault="008E3F19" w:rsidP="00513AD4"/>
    <w:p w14:paraId="74DC15C1" w14:textId="77777777" w:rsidR="008E3F19" w:rsidRDefault="008E3F19" w:rsidP="00513AD4"/>
    <w:p w14:paraId="1ACE60FC" w14:textId="77777777" w:rsidR="008E3F19" w:rsidRDefault="008E3F19" w:rsidP="00513AD4"/>
    <w:p w14:paraId="042FA4C2" w14:textId="77777777" w:rsidR="008E3F19" w:rsidRDefault="008E3F19" w:rsidP="00513AD4"/>
    <w:p w14:paraId="7FB5A4B0" w14:textId="77777777" w:rsidR="008E3F19" w:rsidRDefault="008E3F19" w:rsidP="00513AD4"/>
    <w:p w14:paraId="098EBAA5" w14:textId="77777777" w:rsidR="008E3F19" w:rsidRDefault="008E3F19" w:rsidP="00513AD4"/>
    <w:p w14:paraId="29F55830" w14:textId="77777777" w:rsidR="008E3F19" w:rsidRDefault="008E3F19" w:rsidP="00513AD4"/>
    <w:p w14:paraId="218846EC" w14:textId="77777777" w:rsidR="008E3F19" w:rsidRDefault="008E3F19" w:rsidP="00513AD4"/>
    <w:p w14:paraId="4ADD2856" w14:textId="77777777" w:rsidR="008E3F19" w:rsidRDefault="008E3F19" w:rsidP="00513AD4"/>
    <w:p w14:paraId="2C5C0007" w14:textId="77777777" w:rsidR="008E3F19" w:rsidRDefault="008E3F19" w:rsidP="00513AD4"/>
    <w:p w14:paraId="3A6F09FD" w14:textId="77777777" w:rsidR="008E3F19" w:rsidRDefault="008E3F19" w:rsidP="00513AD4"/>
    <w:p w14:paraId="15FB0F76" w14:textId="77777777" w:rsidR="008E3F19" w:rsidRDefault="008E3F19" w:rsidP="00513AD4"/>
    <w:p w14:paraId="46A78E35" w14:textId="77777777" w:rsidR="008E3F19" w:rsidRDefault="008E3F19" w:rsidP="00513AD4"/>
    <w:p w14:paraId="273BA65C" w14:textId="77777777" w:rsidR="008E3F19" w:rsidRDefault="008E3F19" w:rsidP="00513AD4"/>
    <w:p w14:paraId="5950A974" w14:textId="77777777" w:rsidR="008E3F19" w:rsidRDefault="008E3F19" w:rsidP="00513AD4"/>
    <w:p w14:paraId="36E6E4E6" w14:textId="77777777" w:rsidR="008E3F19" w:rsidRDefault="008E3F19" w:rsidP="00513AD4"/>
    <w:p w14:paraId="6A9B8FB5" w14:textId="77777777" w:rsidR="00F25330" w:rsidRDefault="00F25330" w:rsidP="00513AD4"/>
    <w:p w14:paraId="2826D46E" w14:textId="77777777" w:rsidR="00F25330" w:rsidRDefault="00F25330" w:rsidP="00513AD4"/>
    <w:p w14:paraId="2C9A1D56" w14:textId="77777777" w:rsidR="00F25330" w:rsidRDefault="00F25330" w:rsidP="00513AD4"/>
    <w:p w14:paraId="665F0AFC" w14:textId="77777777" w:rsidR="008E3F19" w:rsidRDefault="008E3F19" w:rsidP="008E3F19">
      <w:pPr>
        <w:pStyle w:val="Heading1"/>
      </w:pPr>
      <w:r w:rsidRPr="008E3F19">
        <w:t>Figure captions</w:t>
      </w:r>
    </w:p>
    <w:p w14:paraId="525473BD" w14:textId="5E22E8D4" w:rsidR="008E3F19" w:rsidRDefault="008E3F19" w:rsidP="008E3F19">
      <w:r>
        <w:rPr>
          <w:noProof/>
        </w:rPr>
        <w:drawing>
          <wp:inline distT="0" distB="0" distL="0" distR="0" wp14:anchorId="7C4AFFCD" wp14:editId="1ABB7442">
            <wp:extent cx="5943600" cy="5943600"/>
            <wp:effectExtent l="0" t="0" r="0" b="0"/>
            <wp:docPr id="7566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4245" name="Picture 7566424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7355018" w14:textId="77777777" w:rsidR="008E3F19" w:rsidRPr="008E3F19" w:rsidRDefault="008E3F19" w:rsidP="008E3F19">
      <w:pPr>
        <w:pStyle w:val="Heading3"/>
        <w:jc w:val="both"/>
      </w:pPr>
      <w:r w:rsidRPr="008E3F19">
        <w:t>Figure 1.</w:t>
      </w:r>
    </w:p>
    <w:p w14:paraId="2E312656" w14:textId="4BA52B0D" w:rsidR="008E3F19" w:rsidRDefault="0050647A" w:rsidP="0050647A">
      <w:pPr>
        <w:jc w:val="both"/>
      </w:pPr>
      <w:r w:rsidRPr="0050647A">
        <w:t xml:space="preserve">Non-metric multidimensional scaling (NMDS) ordinations of vegetation plots for four strata: (A) trees, (B) shrubs, (C) herbs and (D) regeneration. Points represent sample plots </w:t>
      </w:r>
      <w:proofErr w:type="spellStart"/>
      <w:r w:rsidRPr="0050647A">
        <w:t>coloured</w:t>
      </w:r>
      <w:proofErr w:type="spellEnd"/>
      <w:r w:rsidRPr="0050647A">
        <w:t xml:space="preserve"> by forest type; polygons delineate convex hulls for each forest type. Red arrows indicate fitted environmental vectors significant at p &lt; 0.05 based on 999 permutations. Stress values are shown for each ordination.</w:t>
      </w:r>
    </w:p>
    <w:p w14:paraId="72DA2C9B" w14:textId="77777777" w:rsidR="00BC3FC7" w:rsidRDefault="00BC3FC7" w:rsidP="0050647A">
      <w:pPr>
        <w:jc w:val="both"/>
      </w:pPr>
    </w:p>
    <w:p w14:paraId="4B26E112" w14:textId="77777777" w:rsidR="00622C4E" w:rsidRDefault="00622C4E" w:rsidP="00622C4E"/>
    <w:p w14:paraId="1C091CAB" w14:textId="77777777" w:rsidR="00622C4E" w:rsidRDefault="00622C4E" w:rsidP="00622C4E"/>
    <w:p w14:paraId="4D879077" w14:textId="77777777" w:rsidR="00622C4E" w:rsidRDefault="00622C4E" w:rsidP="00622C4E"/>
    <w:p w14:paraId="65CFDFA7" w14:textId="77777777" w:rsidR="00622C4E" w:rsidRDefault="00622C4E" w:rsidP="00622C4E"/>
    <w:p w14:paraId="61A810A1" w14:textId="77777777" w:rsidR="00622C4E" w:rsidRDefault="00622C4E" w:rsidP="00622C4E"/>
    <w:p w14:paraId="2551CB39" w14:textId="77777777" w:rsidR="00622C4E" w:rsidRDefault="00622C4E" w:rsidP="00622C4E"/>
    <w:p w14:paraId="33EE1C29" w14:textId="34BFBE5C" w:rsidR="00622C4E" w:rsidRDefault="00622C4E" w:rsidP="00622C4E">
      <w:r>
        <w:rPr>
          <w:noProof/>
        </w:rPr>
        <w:drawing>
          <wp:inline distT="0" distB="0" distL="0" distR="0" wp14:anchorId="3AF6B22E" wp14:editId="7BBFF42A">
            <wp:extent cx="5943600" cy="5943600"/>
            <wp:effectExtent l="0" t="0" r="0" b="0"/>
            <wp:docPr id="763434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34001" name="Picture 76343400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D9555F8" w14:textId="77777777" w:rsidR="00622C4E" w:rsidRPr="00622C4E" w:rsidRDefault="00622C4E" w:rsidP="006A4A25">
      <w:pPr>
        <w:pStyle w:val="Heading3"/>
        <w:jc w:val="both"/>
      </w:pPr>
      <w:r w:rsidRPr="00622C4E">
        <w:t>Figure 2.</w:t>
      </w:r>
    </w:p>
    <w:p w14:paraId="550FCA2F" w14:textId="77777777" w:rsidR="00622C4E" w:rsidRPr="00622C4E" w:rsidRDefault="00622C4E" w:rsidP="006A4A25">
      <w:pPr>
        <w:jc w:val="both"/>
      </w:pPr>
      <w:r w:rsidRPr="00622C4E">
        <w:t xml:space="preserve">Alpha-diversity metrics across vegetation strata. Panels show (A) species richness, (B) Shannon diversity (H′), (C) Simpson diversity (1 – D) and (D) </w:t>
      </w:r>
      <w:proofErr w:type="spellStart"/>
      <w:r w:rsidRPr="00622C4E">
        <w:t>Pielou’s</w:t>
      </w:r>
      <w:proofErr w:type="spellEnd"/>
      <w:r w:rsidRPr="00622C4E">
        <w:t xml:space="preserve"> evenness (J). Boxplots depict medians and interquartile ranges; points represent individual plots.</w:t>
      </w:r>
    </w:p>
    <w:p w14:paraId="59CC44AA" w14:textId="77777777" w:rsidR="00622C4E" w:rsidRDefault="00622C4E" w:rsidP="006A4A25">
      <w:pPr>
        <w:jc w:val="both"/>
      </w:pPr>
    </w:p>
    <w:p w14:paraId="4E16F5E6" w14:textId="77777777" w:rsidR="00622C4E" w:rsidRDefault="00622C4E" w:rsidP="00622C4E"/>
    <w:p w14:paraId="0F311EC1" w14:textId="77777777" w:rsidR="00622C4E" w:rsidRDefault="00622C4E" w:rsidP="00622C4E"/>
    <w:p w14:paraId="215F3D60" w14:textId="77777777" w:rsidR="00EF5643" w:rsidRDefault="00EF5643" w:rsidP="00622C4E"/>
    <w:p w14:paraId="0201FA7B" w14:textId="77777777" w:rsidR="00EF5643" w:rsidRDefault="00EF5643" w:rsidP="00622C4E"/>
    <w:p w14:paraId="23683C41" w14:textId="77777777" w:rsidR="00EF5643" w:rsidRDefault="00EF5643" w:rsidP="00622C4E"/>
    <w:p w14:paraId="4C096E10" w14:textId="77777777" w:rsidR="00EF5643" w:rsidRDefault="00EF5643" w:rsidP="00622C4E"/>
    <w:p w14:paraId="6DCCA32B" w14:textId="77777777" w:rsidR="00EF5643" w:rsidRDefault="00EF5643" w:rsidP="00622C4E"/>
    <w:p w14:paraId="3625F087" w14:textId="77777777" w:rsidR="00EF5643" w:rsidRDefault="00EF5643" w:rsidP="00622C4E"/>
    <w:p w14:paraId="3B5BCEF7" w14:textId="37A9175F" w:rsidR="00622C4E" w:rsidRDefault="00EF5643" w:rsidP="00622C4E">
      <w:r>
        <w:rPr>
          <w:noProof/>
        </w:rPr>
        <w:drawing>
          <wp:inline distT="0" distB="0" distL="0" distR="0" wp14:anchorId="2B28348A" wp14:editId="42907B9D">
            <wp:extent cx="6286500" cy="4714875"/>
            <wp:effectExtent l="0" t="0" r="0" b="9525"/>
            <wp:docPr id="108420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0712" name="Picture 10842071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97728" cy="4723296"/>
                    </a:xfrm>
                    <a:prstGeom prst="rect">
                      <a:avLst/>
                    </a:prstGeom>
                  </pic:spPr>
                </pic:pic>
              </a:graphicData>
            </a:graphic>
          </wp:inline>
        </w:drawing>
      </w:r>
    </w:p>
    <w:p w14:paraId="0C731490" w14:textId="77777777" w:rsidR="00622C4E" w:rsidRPr="00622C4E" w:rsidRDefault="00622C4E" w:rsidP="006A4A25">
      <w:pPr>
        <w:pStyle w:val="Heading3"/>
        <w:jc w:val="both"/>
      </w:pPr>
      <w:r w:rsidRPr="00622C4E">
        <w:t>Figure 3.</w:t>
      </w:r>
    </w:p>
    <w:p w14:paraId="35E893E2" w14:textId="77777777" w:rsidR="00622C4E" w:rsidRPr="00622C4E" w:rsidRDefault="00622C4E" w:rsidP="006A4A25">
      <w:pPr>
        <w:jc w:val="both"/>
      </w:pPr>
      <w:r w:rsidRPr="00622C4E">
        <w:t>Sample-based species accumulation curves for herbs, regeneration, shrubs and trees. Solid lines indicate mean richness across random permutations; shaded envelopes show 95% confidence intervals.</w:t>
      </w:r>
    </w:p>
    <w:p w14:paraId="6C99C6BB" w14:textId="77777777" w:rsidR="00BC3FC7" w:rsidRDefault="00BC3FC7" w:rsidP="008E3F19"/>
    <w:p w14:paraId="121BBEAE" w14:textId="77777777" w:rsidR="00BC3FC7" w:rsidRDefault="00BC3FC7" w:rsidP="008E3F19"/>
    <w:p w14:paraId="2F58E5FB" w14:textId="399A7837" w:rsidR="00BC3FC7" w:rsidRDefault="006A4A25" w:rsidP="008E3F19">
      <w:r>
        <w:rPr>
          <w:noProof/>
        </w:rPr>
        <w:lastRenderedPageBreak/>
        <w:drawing>
          <wp:inline distT="0" distB="0" distL="0" distR="0" wp14:anchorId="7602A5DA" wp14:editId="778BA045">
            <wp:extent cx="5429250" cy="5429250"/>
            <wp:effectExtent l="0" t="0" r="0" b="0"/>
            <wp:docPr id="1422963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63321" name="Picture 142296332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29250" cy="5429250"/>
                    </a:xfrm>
                    <a:prstGeom prst="rect">
                      <a:avLst/>
                    </a:prstGeom>
                  </pic:spPr>
                </pic:pic>
              </a:graphicData>
            </a:graphic>
          </wp:inline>
        </w:drawing>
      </w:r>
    </w:p>
    <w:p w14:paraId="20E73701" w14:textId="3D832EE9" w:rsidR="00BC3FC7" w:rsidRDefault="00BC3FC7" w:rsidP="008E3F19"/>
    <w:p w14:paraId="35CFADC1" w14:textId="434AF8A2" w:rsidR="008E3F19" w:rsidRPr="008E3F19" w:rsidRDefault="008E3F19" w:rsidP="00BC3FC7">
      <w:pPr>
        <w:pStyle w:val="Heading3"/>
        <w:jc w:val="both"/>
      </w:pPr>
      <w:r w:rsidRPr="008E3F19">
        <w:t>Figure 4.</w:t>
      </w:r>
    </w:p>
    <w:p w14:paraId="7B4995CF" w14:textId="77777777" w:rsidR="008E3F19" w:rsidRDefault="008E3F19" w:rsidP="00BC3FC7">
      <w:pPr>
        <w:jc w:val="both"/>
      </w:pPr>
      <w:r w:rsidRPr="008E3F19">
        <w:t>Canonical correspondence analysis (</w:t>
      </w:r>
      <w:proofErr w:type="spellStart"/>
      <w:r w:rsidRPr="008E3F19">
        <w:t>CCA</w:t>
      </w:r>
      <w:proofErr w:type="spellEnd"/>
      <w:r w:rsidRPr="008E3F19">
        <w:t>) biplots for (A) trees, (B) shrubs, (C) herbs and (D) regeneration. Points represent plots and arrows denote environmental predictors retained after variance inflation factor screening (threshold = 10). Arrow length indicates the strength of correlations with ordination axes.</w:t>
      </w:r>
    </w:p>
    <w:p w14:paraId="75FF64C9" w14:textId="1E22E9C3" w:rsidR="008E3F19" w:rsidRDefault="00611C90" w:rsidP="008E3F19">
      <w:r>
        <w:rPr>
          <w:noProof/>
        </w:rPr>
        <w:lastRenderedPageBreak/>
        <w:drawing>
          <wp:inline distT="0" distB="0" distL="0" distR="0" wp14:anchorId="3C6E9CA1" wp14:editId="468F919F">
            <wp:extent cx="5943600" cy="4457700"/>
            <wp:effectExtent l="0" t="0" r="0" b="0"/>
            <wp:docPr id="277916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6809" name="Picture 27791680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9B9B6D5" w14:textId="77777777" w:rsidR="00611C90" w:rsidRPr="00611C90" w:rsidRDefault="00611C90" w:rsidP="00611C90">
      <w:pPr>
        <w:pStyle w:val="Heading3"/>
        <w:jc w:val="both"/>
      </w:pPr>
      <w:r w:rsidRPr="00611C90">
        <w:t>Figure 5.</w:t>
      </w:r>
    </w:p>
    <w:p w14:paraId="1F9D0C4B" w14:textId="55825837" w:rsidR="00611C90" w:rsidRDefault="006360D5" w:rsidP="008E3F19">
      <w:r w:rsidRPr="006360D5">
        <w:t>Random-forest variable-importance ranking for predictors of regeneration richness. Bars show percentage increase in mean squared error (%</w:t>
      </w:r>
      <w:proofErr w:type="spellStart"/>
      <w:r w:rsidRPr="006360D5">
        <w:t>IncMSE</w:t>
      </w:r>
      <w:proofErr w:type="spellEnd"/>
      <w:r w:rsidRPr="006360D5">
        <w:t>) following permutation of each variable during five-fold cross-validation. Higher values indicate stronger influence on predictive accuracy.</w:t>
      </w:r>
    </w:p>
    <w:p w14:paraId="3BF804B1" w14:textId="68D1B797" w:rsidR="008E3F19" w:rsidRDefault="006A4A25" w:rsidP="008E3F19">
      <w:r>
        <w:rPr>
          <w:noProof/>
        </w:rPr>
        <w:lastRenderedPageBreak/>
        <w:drawing>
          <wp:inline distT="0" distB="0" distL="0" distR="0" wp14:anchorId="507D1311" wp14:editId="2040F88B">
            <wp:extent cx="5943600" cy="4754880"/>
            <wp:effectExtent l="0" t="0" r="0" b="7620"/>
            <wp:docPr id="1166030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30037" name="Picture 1166030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7742609D" w14:textId="5320F0A1" w:rsidR="00622C4E" w:rsidRPr="00622C4E" w:rsidRDefault="00622C4E" w:rsidP="00611C90">
      <w:pPr>
        <w:pStyle w:val="Heading3"/>
      </w:pPr>
      <w:r w:rsidRPr="00622C4E">
        <w:t>Figure 6.</w:t>
      </w:r>
    </w:p>
    <w:p w14:paraId="48816F54" w14:textId="77777777" w:rsidR="00622C4E" w:rsidRPr="00622C4E" w:rsidRDefault="00622C4E" w:rsidP="006A4A25">
      <w:pPr>
        <w:jc w:val="both"/>
      </w:pPr>
      <w:r w:rsidRPr="00622C4E">
        <w:t>Variation in plot-level species richness along the elevational gradient for herbs, regeneration, shrubs and trees. Curves represent locally weighted regression fits with 95% confidence bands.</w:t>
      </w:r>
    </w:p>
    <w:p w14:paraId="4ECD32DB" w14:textId="77777777" w:rsidR="00BC3FC7" w:rsidRDefault="00BC3FC7" w:rsidP="006A4A25">
      <w:pPr>
        <w:jc w:val="both"/>
      </w:pPr>
    </w:p>
    <w:p w14:paraId="6C88E252" w14:textId="77777777" w:rsidR="00BC3FC7" w:rsidRDefault="00BC3FC7" w:rsidP="008E3F19"/>
    <w:p w14:paraId="157B1C67" w14:textId="77777777" w:rsidR="00BC3FC7" w:rsidRDefault="00BC3FC7" w:rsidP="008E3F19"/>
    <w:p w14:paraId="04EAC30D" w14:textId="77777777" w:rsidR="006A4A25" w:rsidRDefault="006A4A25" w:rsidP="008E3F19"/>
    <w:p w14:paraId="1FA55778" w14:textId="77777777" w:rsidR="006A4A25" w:rsidRDefault="006A4A25" w:rsidP="008E3F19"/>
    <w:p w14:paraId="57D393D8" w14:textId="77777777" w:rsidR="006A4A25" w:rsidRDefault="006A4A25" w:rsidP="008E3F19"/>
    <w:p w14:paraId="0AB43AC0" w14:textId="77777777" w:rsidR="006A4A25" w:rsidRDefault="006A4A25" w:rsidP="008E3F19"/>
    <w:p w14:paraId="5B259C20" w14:textId="77777777" w:rsidR="006A4A25" w:rsidRDefault="006A4A25" w:rsidP="008E3F19"/>
    <w:p w14:paraId="47295A5E" w14:textId="77777777" w:rsidR="006A4A25" w:rsidRDefault="006A4A25" w:rsidP="008E3F19"/>
    <w:p w14:paraId="027020CA" w14:textId="77777777" w:rsidR="006A4A25" w:rsidRDefault="006A4A25" w:rsidP="008E3F19"/>
    <w:p w14:paraId="6D8AB2DA" w14:textId="77777777" w:rsidR="006A4A25" w:rsidRDefault="006A4A25" w:rsidP="008E3F19"/>
    <w:p w14:paraId="739C4775" w14:textId="77777777" w:rsidR="006A4A25" w:rsidRDefault="006A4A25" w:rsidP="008E3F19"/>
    <w:p w14:paraId="19FEB5FD" w14:textId="77777777" w:rsidR="006A4A25" w:rsidRDefault="006A4A25" w:rsidP="008E3F19"/>
    <w:p w14:paraId="033841CD" w14:textId="77777777" w:rsidR="006A4A25" w:rsidRDefault="006A4A25" w:rsidP="008E3F19"/>
    <w:p w14:paraId="7A1EDF7A" w14:textId="77777777" w:rsidR="008E3F19" w:rsidRPr="008E3F19" w:rsidRDefault="008E3F19" w:rsidP="008E3F19"/>
    <w:p w14:paraId="4B7A07CA" w14:textId="0F47DD62" w:rsidR="008E3F19" w:rsidRPr="008E3F19" w:rsidRDefault="008E3F19" w:rsidP="008E3F19"/>
    <w:p w14:paraId="2389BDA1" w14:textId="77777777" w:rsidR="008E3F19" w:rsidRPr="009166AB" w:rsidRDefault="008E3F19" w:rsidP="008E3F19">
      <w:pPr>
        <w:pStyle w:val="Heading1"/>
      </w:pPr>
      <w:r w:rsidRPr="009166AB">
        <w:lastRenderedPageBreak/>
        <w:t>Table captions</w:t>
      </w:r>
    </w:p>
    <w:p w14:paraId="763C9CE1" w14:textId="77777777" w:rsidR="008E3F19" w:rsidRPr="008E3F19" w:rsidRDefault="008E3F19" w:rsidP="00AF245F">
      <w:pPr>
        <w:pStyle w:val="Heading3"/>
      </w:pPr>
      <w:r w:rsidRPr="008E3F19">
        <w:t>Table 2.</w:t>
      </w:r>
    </w:p>
    <w:p w14:paraId="0E5B6A50" w14:textId="77777777" w:rsidR="008E3F19" w:rsidRPr="009166AB" w:rsidRDefault="008E3F19" w:rsidP="009166AB">
      <w:pPr>
        <w:jc w:val="both"/>
        <w:rPr>
          <w:rFonts w:ascii="Arial" w:hAnsi="Arial" w:cs="Arial"/>
        </w:rPr>
      </w:pPr>
      <w:r w:rsidRPr="008E3F19">
        <w:rPr>
          <w:rFonts w:ascii="Arial" w:hAnsi="Arial" w:cs="Arial"/>
        </w:rPr>
        <w:t>Results of permutational multivariate analysis of variance (</w:t>
      </w:r>
      <w:proofErr w:type="spellStart"/>
      <w:r w:rsidRPr="008E3F19">
        <w:rPr>
          <w:rFonts w:ascii="Arial" w:hAnsi="Arial" w:cs="Arial"/>
        </w:rPr>
        <w:t>PERMANOVA</w:t>
      </w:r>
      <w:proofErr w:type="spellEnd"/>
      <w:r w:rsidRPr="008E3F19">
        <w:rPr>
          <w:rFonts w:ascii="Arial" w:hAnsi="Arial" w:cs="Arial"/>
        </w:rPr>
        <w:t>) and tests of multivariate dispersion for vegetation strata across forest types. p-values are based on 999 permutations.</w:t>
      </w:r>
    </w:p>
    <w:tbl>
      <w:tblPr>
        <w:tblW w:w="9304" w:type="dxa"/>
        <w:tblLook w:val="04A0" w:firstRow="1" w:lastRow="0" w:firstColumn="1" w:lastColumn="0" w:noHBand="0" w:noVBand="1"/>
      </w:tblPr>
      <w:tblGrid>
        <w:gridCol w:w="1572"/>
        <w:gridCol w:w="759"/>
        <w:gridCol w:w="1021"/>
        <w:gridCol w:w="784"/>
        <w:gridCol w:w="659"/>
        <w:gridCol w:w="784"/>
        <w:gridCol w:w="971"/>
        <w:gridCol w:w="971"/>
        <w:gridCol w:w="1783"/>
      </w:tblGrid>
      <w:tr w:rsidR="009166AB" w:rsidRPr="009166AB" w14:paraId="62AD7416" w14:textId="77777777" w:rsidTr="009166AB">
        <w:trPr>
          <w:trHeight w:val="250"/>
        </w:trPr>
        <w:tc>
          <w:tcPr>
            <w:tcW w:w="0" w:type="auto"/>
            <w:tcBorders>
              <w:top w:val="single" w:sz="4" w:space="0" w:color="auto"/>
              <w:left w:val="nil"/>
              <w:bottom w:val="single" w:sz="4" w:space="0" w:color="auto"/>
              <w:right w:val="nil"/>
            </w:tcBorders>
            <w:vAlign w:val="center"/>
            <w:hideMark/>
          </w:tcPr>
          <w:p w14:paraId="09EE014F"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Stratum</w:t>
            </w:r>
          </w:p>
        </w:tc>
        <w:tc>
          <w:tcPr>
            <w:tcW w:w="0" w:type="auto"/>
            <w:tcBorders>
              <w:top w:val="single" w:sz="4" w:space="0" w:color="auto"/>
              <w:left w:val="nil"/>
              <w:bottom w:val="single" w:sz="4" w:space="0" w:color="auto"/>
              <w:right w:val="nil"/>
            </w:tcBorders>
            <w:vAlign w:val="center"/>
            <w:hideMark/>
          </w:tcPr>
          <w:p w14:paraId="59FB70AC"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Sites</w:t>
            </w:r>
          </w:p>
        </w:tc>
        <w:tc>
          <w:tcPr>
            <w:tcW w:w="0" w:type="auto"/>
            <w:tcBorders>
              <w:top w:val="single" w:sz="4" w:space="0" w:color="auto"/>
              <w:left w:val="nil"/>
              <w:bottom w:val="single" w:sz="4" w:space="0" w:color="auto"/>
              <w:right w:val="nil"/>
            </w:tcBorders>
            <w:vAlign w:val="center"/>
            <w:hideMark/>
          </w:tcPr>
          <w:p w14:paraId="1E1E5F76"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Groups</w:t>
            </w:r>
          </w:p>
        </w:tc>
        <w:tc>
          <w:tcPr>
            <w:tcW w:w="0" w:type="auto"/>
            <w:tcBorders>
              <w:top w:val="single" w:sz="4" w:space="0" w:color="auto"/>
              <w:left w:val="nil"/>
              <w:bottom w:val="single" w:sz="4" w:space="0" w:color="auto"/>
              <w:right w:val="nil"/>
            </w:tcBorders>
            <w:vAlign w:val="center"/>
            <w:hideMark/>
          </w:tcPr>
          <w:p w14:paraId="0E40F7B4" w14:textId="77777777" w:rsidR="009166AB" w:rsidRPr="009166AB" w:rsidRDefault="009166AB">
            <w:pPr>
              <w:jc w:val="center"/>
              <w:rPr>
                <w:rFonts w:ascii="Arial" w:hAnsi="Arial" w:cs="Arial"/>
                <w:b/>
                <w:bCs/>
                <w:color w:val="000000"/>
                <w:sz w:val="22"/>
                <w:szCs w:val="22"/>
              </w:rPr>
            </w:pPr>
            <w:proofErr w:type="spellStart"/>
            <w:r w:rsidRPr="009166AB">
              <w:rPr>
                <w:rFonts w:ascii="Arial" w:hAnsi="Arial" w:cs="Arial"/>
                <w:b/>
                <w:bCs/>
                <w:color w:val="000000"/>
                <w:sz w:val="22"/>
                <w:szCs w:val="22"/>
              </w:rPr>
              <w:t>R²</w:t>
            </w:r>
            <w:proofErr w:type="spellEnd"/>
          </w:p>
        </w:tc>
        <w:tc>
          <w:tcPr>
            <w:tcW w:w="0" w:type="auto"/>
            <w:tcBorders>
              <w:top w:val="single" w:sz="4" w:space="0" w:color="auto"/>
              <w:left w:val="nil"/>
              <w:bottom w:val="single" w:sz="4" w:space="0" w:color="auto"/>
              <w:right w:val="nil"/>
            </w:tcBorders>
            <w:vAlign w:val="center"/>
            <w:hideMark/>
          </w:tcPr>
          <w:p w14:paraId="6D6B72F4"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F</w:t>
            </w:r>
          </w:p>
        </w:tc>
        <w:tc>
          <w:tcPr>
            <w:tcW w:w="0" w:type="auto"/>
            <w:tcBorders>
              <w:top w:val="single" w:sz="4" w:space="0" w:color="auto"/>
              <w:left w:val="nil"/>
              <w:bottom w:val="single" w:sz="4" w:space="0" w:color="auto"/>
              <w:right w:val="nil"/>
            </w:tcBorders>
            <w:vAlign w:val="center"/>
            <w:hideMark/>
          </w:tcPr>
          <w:p w14:paraId="4E25EE2E"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p</w:t>
            </w:r>
          </w:p>
        </w:tc>
        <w:tc>
          <w:tcPr>
            <w:tcW w:w="0" w:type="auto"/>
            <w:tcBorders>
              <w:top w:val="single" w:sz="4" w:space="0" w:color="auto"/>
              <w:left w:val="nil"/>
              <w:bottom w:val="single" w:sz="4" w:space="0" w:color="auto"/>
              <w:right w:val="nil"/>
            </w:tcBorders>
            <w:vAlign w:val="center"/>
            <w:hideMark/>
          </w:tcPr>
          <w:p w14:paraId="202F3826"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Disp. F</w:t>
            </w:r>
          </w:p>
        </w:tc>
        <w:tc>
          <w:tcPr>
            <w:tcW w:w="0" w:type="auto"/>
            <w:tcBorders>
              <w:top w:val="single" w:sz="4" w:space="0" w:color="auto"/>
              <w:left w:val="nil"/>
              <w:bottom w:val="single" w:sz="4" w:space="0" w:color="auto"/>
              <w:right w:val="nil"/>
            </w:tcBorders>
            <w:vAlign w:val="center"/>
            <w:hideMark/>
          </w:tcPr>
          <w:p w14:paraId="4E89D0B0"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Disp. p</w:t>
            </w:r>
          </w:p>
        </w:tc>
        <w:tc>
          <w:tcPr>
            <w:tcW w:w="0" w:type="auto"/>
            <w:tcBorders>
              <w:top w:val="single" w:sz="4" w:space="0" w:color="auto"/>
              <w:left w:val="nil"/>
              <w:bottom w:val="single" w:sz="4" w:space="0" w:color="auto"/>
              <w:right w:val="nil"/>
            </w:tcBorders>
            <w:vAlign w:val="center"/>
            <w:hideMark/>
          </w:tcPr>
          <w:p w14:paraId="1817C356" w14:textId="77777777" w:rsidR="009166AB" w:rsidRPr="009166AB" w:rsidRDefault="009166AB">
            <w:pPr>
              <w:jc w:val="center"/>
              <w:rPr>
                <w:rFonts w:ascii="Arial" w:hAnsi="Arial" w:cs="Arial"/>
                <w:b/>
                <w:bCs/>
                <w:color w:val="000000"/>
                <w:sz w:val="22"/>
                <w:szCs w:val="22"/>
              </w:rPr>
            </w:pPr>
            <w:r w:rsidRPr="009166AB">
              <w:rPr>
                <w:rFonts w:ascii="Arial" w:hAnsi="Arial" w:cs="Arial"/>
                <w:b/>
                <w:bCs/>
                <w:color w:val="000000"/>
                <w:sz w:val="22"/>
                <w:szCs w:val="22"/>
              </w:rPr>
              <w:t>Homogeneous</w:t>
            </w:r>
          </w:p>
        </w:tc>
      </w:tr>
      <w:tr w:rsidR="009166AB" w:rsidRPr="009166AB" w14:paraId="0565C3EA" w14:textId="77777777" w:rsidTr="009166AB">
        <w:trPr>
          <w:trHeight w:val="313"/>
        </w:trPr>
        <w:tc>
          <w:tcPr>
            <w:tcW w:w="0" w:type="auto"/>
            <w:tcBorders>
              <w:top w:val="nil"/>
              <w:left w:val="nil"/>
              <w:bottom w:val="nil"/>
              <w:right w:val="nil"/>
            </w:tcBorders>
            <w:vAlign w:val="center"/>
            <w:hideMark/>
          </w:tcPr>
          <w:p w14:paraId="334B5286"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Trees</w:t>
            </w:r>
          </w:p>
        </w:tc>
        <w:tc>
          <w:tcPr>
            <w:tcW w:w="0" w:type="auto"/>
            <w:tcBorders>
              <w:top w:val="nil"/>
              <w:left w:val="nil"/>
              <w:bottom w:val="nil"/>
              <w:right w:val="nil"/>
            </w:tcBorders>
            <w:vAlign w:val="center"/>
            <w:hideMark/>
          </w:tcPr>
          <w:p w14:paraId="6846C16D"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216</w:t>
            </w:r>
          </w:p>
        </w:tc>
        <w:tc>
          <w:tcPr>
            <w:tcW w:w="0" w:type="auto"/>
            <w:tcBorders>
              <w:top w:val="nil"/>
              <w:left w:val="nil"/>
              <w:bottom w:val="nil"/>
              <w:right w:val="nil"/>
            </w:tcBorders>
            <w:vAlign w:val="center"/>
            <w:hideMark/>
          </w:tcPr>
          <w:p w14:paraId="7D776C5A"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w:t>
            </w:r>
          </w:p>
        </w:tc>
        <w:tc>
          <w:tcPr>
            <w:tcW w:w="0" w:type="auto"/>
            <w:tcBorders>
              <w:top w:val="nil"/>
              <w:left w:val="nil"/>
              <w:bottom w:val="nil"/>
              <w:right w:val="nil"/>
            </w:tcBorders>
            <w:vAlign w:val="center"/>
            <w:hideMark/>
          </w:tcPr>
          <w:p w14:paraId="6984BF44"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0.031</w:t>
            </w:r>
          </w:p>
        </w:tc>
        <w:tc>
          <w:tcPr>
            <w:tcW w:w="0" w:type="auto"/>
            <w:tcBorders>
              <w:top w:val="nil"/>
              <w:left w:val="nil"/>
              <w:bottom w:val="nil"/>
              <w:right w:val="nil"/>
            </w:tcBorders>
            <w:vAlign w:val="center"/>
            <w:hideMark/>
          </w:tcPr>
          <w:p w14:paraId="24AA763C"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3.38</w:t>
            </w:r>
          </w:p>
        </w:tc>
        <w:tc>
          <w:tcPr>
            <w:tcW w:w="0" w:type="auto"/>
            <w:tcBorders>
              <w:top w:val="nil"/>
              <w:left w:val="nil"/>
              <w:bottom w:val="nil"/>
              <w:right w:val="nil"/>
            </w:tcBorders>
            <w:vAlign w:val="center"/>
            <w:hideMark/>
          </w:tcPr>
          <w:p w14:paraId="3A86B02B"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5C212953"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1.24</w:t>
            </w:r>
          </w:p>
        </w:tc>
        <w:tc>
          <w:tcPr>
            <w:tcW w:w="0" w:type="auto"/>
            <w:tcBorders>
              <w:top w:val="nil"/>
              <w:left w:val="nil"/>
              <w:bottom w:val="nil"/>
              <w:right w:val="nil"/>
            </w:tcBorders>
            <w:vAlign w:val="center"/>
            <w:hideMark/>
          </w:tcPr>
          <w:p w14:paraId="7F3B4ED5"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0.291</w:t>
            </w:r>
          </w:p>
        </w:tc>
        <w:tc>
          <w:tcPr>
            <w:tcW w:w="0" w:type="auto"/>
            <w:tcBorders>
              <w:top w:val="nil"/>
              <w:left w:val="nil"/>
              <w:bottom w:val="nil"/>
              <w:right w:val="nil"/>
            </w:tcBorders>
            <w:vAlign w:val="center"/>
            <w:hideMark/>
          </w:tcPr>
          <w:p w14:paraId="214C40FC"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Yes</w:t>
            </w:r>
          </w:p>
        </w:tc>
      </w:tr>
      <w:tr w:rsidR="009166AB" w:rsidRPr="009166AB" w14:paraId="035CFBCB" w14:textId="77777777" w:rsidTr="009166AB">
        <w:trPr>
          <w:trHeight w:val="313"/>
        </w:trPr>
        <w:tc>
          <w:tcPr>
            <w:tcW w:w="0" w:type="auto"/>
            <w:tcBorders>
              <w:top w:val="nil"/>
              <w:left w:val="nil"/>
              <w:bottom w:val="nil"/>
              <w:right w:val="nil"/>
            </w:tcBorders>
            <w:vAlign w:val="center"/>
            <w:hideMark/>
          </w:tcPr>
          <w:p w14:paraId="2C199C9C"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Shrubs</w:t>
            </w:r>
          </w:p>
        </w:tc>
        <w:tc>
          <w:tcPr>
            <w:tcW w:w="0" w:type="auto"/>
            <w:tcBorders>
              <w:top w:val="nil"/>
              <w:left w:val="nil"/>
              <w:bottom w:val="nil"/>
              <w:right w:val="nil"/>
            </w:tcBorders>
            <w:vAlign w:val="center"/>
            <w:hideMark/>
          </w:tcPr>
          <w:p w14:paraId="415E6198"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194</w:t>
            </w:r>
          </w:p>
        </w:tc>
        <w:tc>
          <w:tcPr>
            <w:tcW w:w="0" w:type="auto"/>
            <w:tcBorders>
              <w:top w:val="nil"/>
              <w:left w:val="nil"/>
              <w:bottom w:val="nil"/>
              <w:right w:val="nil"/>
            </w:tcBorders>
            <w:vAlign w:val="center"/>
            <w:hideMark/>
          </w:tcPr>
          <w:p w14:paraId="5CD2D810"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w:t>
            </w:r>
          </w:p>
        </w:tc>
        <w:tc>
          <w:tcPr>
            <w:tcW w:w="0" w:type="auto"/>
            <w:tcBorders>
              <w:top w:val="nil"/>
              <w:left w:val="nil"/>
              <w:bottom w:val="nil"/>
              <w:right w:val="nil"/>
            </w:tcBorders>
            <w:vAlign w:val="center"/>
            <w:hideMark/>
          </w:tcPr>
          <w:p w14:paraId="1FB7C178"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0.05</w:t>
            </w:r>
          </w:p>
        </w:tc>
        <w:tc>
          <w:tcPr>
            <w:tcW w:w="0" w:type="auto"/>
            <w:tcBorders>
              <w:top w:val="nil"/>
              <w:left w:val="nil"/>
              <w:bottom w:val="nil"/>
              <w:right w:val="nil"/>
            </w:tcBorders>
            <w:vAlign w:val="center"/>
            <w:hideMark/>
          </w:tcPr>
          <w:p w14:paraId="6785E265"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5.05</w:t>
            </w:r>
          </w:p>
        </w:tc>
        <w:tc>
          <w:tcPr>
            <w:tcW w:w="0" w:type="auto"/>
            <w:tcBorders>
              <w:top w:val="nil"/>
              <w:left w:val="nil"/>
              <w:bottom w:val="nil"/>
              <w:right w:val="nil"/>
            </w:tcBorders>
            <w:vAlign w:val="center"/>
            <w:hideMark/>
          </w:tcPr>
          <w:p w14:paraId="164B39AD"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5EF0546C"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12.93</w:t>
            </w:r>
          </w:p>
        </w:tc>
        <w:tc>
          <w:tcPr>
            <w:tcW w:w="0" w:type="auto"/>
            <w:tcBorders>
              <w:top w:val="nil"/>
              <w:left w:val="nil"/>
              <w:bottom w:val="nil"/>
              <w:right w:val="nil"/>
            </w:tcBorders>
            <w:vAlign w:val="center"/>
            <w:hideMark/>
          </w:tcPr>
          <w:p w14:paraId="44E3A460"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6C25DB5A"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No</w:t>
            </w:r>
          </w:p>
        </w:tc>
      </w:tr>
      <w:tr w:rsidR="009166AB" w:rsidRPr="009166AB" w14:paraId="5098B6AC" w14:textId="77777777" w:rsidTr="009166AB">
        <w:trPr>
          <w:trHeight w:val="313"/>
        </w:trPr>
        <w:tc>
          <w:tcPr>
            <w:tcW w:w="0" w:type="auto"/>
            <w:tcBorders>
              <w:top w:val="nil"/>
              <w:left w:val="nil"/>
              <w:bottom w:val="nil"/>
              <w:right w:val="nil"/>
            </w:tcBorders>
            <w:vAlign w:val="center"/>
            <w:hideMark/>
          </w:tcPr>
          <w:p w14:paraId="21344409"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Herbs</w:t>
            </w:r>
          </w:p>
        </w:tc>
        <w:tc>
          <w:tcPr>
            <w:tcW w:w="0" w:type="auto"/>
            <w:tcBorders>
              <w:top w:val="nil"/>
              <w:left w:val="nil"/>
              <w:bottom w:val="nil"/>
              <w:right w:val="nil"/>
            </w:tcBorders>
            <w:vAlign w:val="center"/>
            <w:hideMark/>
          </w:tcPr>
          <w:p w14:paraId="69C4CB7F"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206</w:t>
            </w:r>
          </w:p>
        </w:tc>
        <w:tc>
          <w:tcPr>
            <w:tcW w:w="0" w:type="auto"/>
            <w:tcBorders>
              <w:top w:val="nil"/>
              <w:left w:val="nil"/>
              <w:bottom w:val="nil"/>
              <w:right w:val="nil"/>
            </w:tcBorders>
            <w:vAlign w:val="center"/>
            <w:hideMark/>
          </w:tcPr>
          <w:p w14:paraId="3DBFAF36"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w:t>
            </w:r>
          </w:p>
        </w:tc>
        <w:tc>
          <w:tcPr>
            <w:tcW w:w="0" w:type="auto"/>
            <w:tcBorders>
              <w:top w:val="nil"/>
              <w:left w:val="nil"/>
              <w:bottom w:val="nil"/>
              <w:right w:val="nil"/>
            </w:tcBorders>
            <w:vAlign w:val="center"/>
            <w:hideMark/>
          </w:tcPr>
          <w:p w14:paraId="7DB18FEB"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0.017</w:t>
            </w:r>
          </w:p>
        </w:tc>
        <w:tc>
          <w:tcPr>
            <w:tcW w:w="0" w:type="auto"/>
            <w:tcBorders>
              <w:top w:val="nil"/>
              <w:left w:val="nil"/>
              <w:bottom w:val="nil"/>
              <w:right w:val="nil"/>
            </w:tcBorders>
            <w:vAlign w:val="center"/>
            <w:hideMark/>
          </w:tcPr>
          <w:p w14:paraId="1FEB1A64"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1.7</w:t>
            </w:r>
          </w:p>
        </w:tc>
        <w:tc>
          <w:tcPr>
            <w:tcW w:w="0" w:type="auto"/>
            <w:tcBorders>
              <w:top w:val="nil"/>
              <w:left w:val="nil"/>
              <w:bottom w:val="nil"/>
              <w:right w:val="nil"/>
            </w:tcBorders>
            <w:vAlign w:val="center"/>
            <w:hideMark/>
          </w:tcPr>
          <w:p w14:paraId="19603716"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1B2E08C8"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15.05</w:t>
            </w:r>
          </w:p>
        </w:tc>
        <w:tc>
          <w:tcPr>
            <w:tcW w:w="0" w:type="auto"/>
            <w:tcBorders>
              <w:top w:val="nil"/>
              <w:left w:val="nil"/>
              <w:bottom w:val="nil"/>
              <w:right w:val="nil"/>
            </w:tcBorders>
            <w:vAlign w:val="center"/>
            <w:hideMark/>
          </w:tcPr>
          <w:p w14:paraId="5013A690"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nil"/>
              <w:right w:val="nil"/>
            </w:tcBorders>
            <w:vAlign w:val="center"/>
            <w:hideMark/>
          </w:tcPr>
          <w:p w14:paraId="1CE9CE36"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No</w:t>
            </w:r>
          </w:p>
        </w:tc>
      </w:tr>
      <w:tr w:rsidR="009166AB" w:rsidRPr="009166AB" w14:paraId="7B60DF30" w14:textId="77777777" w:rsidTr="009166AB">
        <w:trPr>
          <w:trHeight w:val="313"/>
        </w:trPr>
        <w:tc>
          <w:tcPr>
            <w:tcW w:w="0" w:type="auto"/>
            <w:tcBorders>
              <w:top w:val="nil"/>
              <w:left w:val="nil"/>
              <w:bottom w:val="single" w:sz="4" w:space="0" w:color="auto"/>
              <w:right w:val="nil"/>
            </w:tcBorders>
            <w:vAlign w:val="center"/>
            <w:hideMark/>
          </w:tcPr>
          <w:p w14:paraId="0DA4C226"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Regeneration</w:t>
            </w:r>
          </w:p>
        </w:tc>
        <w:tc>
          <w:tcPr>
            <w:tcW w:w="0" w:type="auto"/>
            <w:tcBorders>
              <w:top w:val="nil"/>
              <w:left w:val="nil"/>
              <w:bottom w:val="single" w:sz="4" w:space="0" w:color="auto"/>
              <w:right w:val="nil"/>
            </w:tcBorders>
            <w:vAlign w:val="center"/>
            <w:hideMark/>
          </w:tcPr>
          <w:p w14:paraId="43A55B77"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205</w:t>
            </w:r>
          </w:p>
        </w:tc>
        <w:tc>
          <w:tcPr>
            <w:tcW w:w="0" w:type="auto"/>
            <w:tcBorders>
              <w:top w:val="nil"/>
              <w:left w:val="nil"/>
              <w:bottom w:val="single" w:sz="4" w:space="0" w:color="auto"/>
              <w:right w:val="nil"/>
            </w:tcBorders>
            <w:vAlign w:val="center"/>
            <w:hideMark/>
          </w:tcPr>
          <w:p w14:paraId="39B2C590"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3</w:t>
            </w:r>
          </w:p>
        </w:tc>
        <w:tc>
          <w:tcPr>
            <w:tcW w:w="0" w:type="auto"/>
            <w:tcBorders>
              <w:top w:val="nil"/>
              <w:left w:val="nil"/>
              <w:bottom w:val="single" w:sz="4" w:space="0" w:color="auto"/>
              <w:right w:val="nil"/>
            </w:tcBorders>
            <w:vAlign w:val="center"/>
            <w:hideMark/>
          </w:tcPr>
          <w:p w14:paraId="1A51FD48"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0.021</w:t>
            </w:r>
          </w:p>
        </w:tc>
        <w:tc>
          <w:tcPr>
            <w:tcW w:w="0" w:type="auto"/>
            <w:tcBorders>
              <w:top w:val="nil"/>
              <w:left w:val="nil"/>
              <w:bottom w:val="single" w:sz="4" w:space="0" w:color="auto"/>
              <w:right w:val="nil"/>
            </w:tcBorders>
            <w:vAlign w:val="center"/>
            <w:hideMark/>
          </w:tcPr>
          <w:p w14:paraId="566E7012"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2.14</w:t>
            </w:r>
          </w:p>
        </w:tc>
        <w:tc>
          <w:tcPr>
            <w:tcW w:w="0" w:type="auto"/>
            <w:tcBorders>
              <w:top w:val="nil"/>
              <w:left w:val="nil"/>
              <w:bottom w:val="single" w:sz="4" w:space="0" w:color="auto"/>
              <w:right w:val="nil"/>
            </w:tcBorders>
            <w:vAlign w:val="center"/>
            <w:hideMark/>
          </w:tcPr>
          <w:p w14:paraId="65CE563A"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0.001</w:t>
            </w:r>
          </w:p>
        </w:tc>
        <w:tc>
          <w:tcPr>
            <w:tcW w:w="0" w:type="auto"/>
            <w:tcBorders>
              <w:top w:val="nil"/>
              <w:left w:val="nil"/>
              <w:bottom w:val="single" w:sz="4" w:space="0" w:color="auto"/>
              <w:right w:val="nil"/>
            </w:tcBorders>
            <w:vAlign w:val="center"/>
            <w:hideMark/>
          </w:tcPr>
          <w:p w14:paraId="37CEDA4B"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1.17</w:t>
            </w:r>
          </w:p>
        </w:tc>
        <w:tc>
          <w:tcPr>
            <w:tcW w:w="0" w:type="auto"/>
            <w:tcBorders>
              <w:top w:val="nil"/>
              <w:left w:val="nil"/>
              <w:bottom w:val="single" w:sz="4" w:space="0" w:color="auto"/>
              <w:right w:val="nil"/>
            </w:tcBorders>
            <w:vAlign w:val="center"/>
            <w:hideMark/>
          </w:tcPr>
          <w:p w14:paraId="15994651" w14:textId="77777777" w:rsidR="009166AB" w:rsidRPr="009166AB" w:rsidRDefault="009166AB">
            <w:pPr>
              <w:jc w:val="right"/>
              <w:rPr>
                <w:rFonts w:ascii="Arial" w:hAnsi="Arial" w:cs="Arial"/>
                <w:color w:val="000000"/>
                <w:sz w:val="22"/>
                <w:szCs w:val="22"/>
              </w:rPr>
            </w:pPr>
            <w:r w:rsidRPr="009166AB">
              <w:rPr>
                <w:rFonts w:ascii="Arial" w:hAnsi="Arial" w:cs="Arial"/>
                <w:color w:val="000000"/>
                <w:sz w:val="22"/>
                <w:szCs w:val="22"/>
              </w:rPr>
              <w:t>0.319</w:t>
            </w:r>
          </w:p>
        </w:tc>
        <w:tc>
          <w:tcPr>
            <w:tcW w:w="0" w:type="auto"/>
            <w:tcBorders>
              <w:top w:val="nil"/>
              <w:left w:val="nil"/>
              <w:bottom w:val="single" w:sz="4" w:space="0" w:color="auto"/>
              <w:right w:val="nil"/>
            </w:tcBorders>
            <w:vAlign w:val="center"/>
            <w:hideMark/>
          </w:tcPr>
          <w:p w14:paraId="342B4773" w14:textId="77777777" w:rsidR="009166AB" w:rsidRPr="009166AB" w:rsidRDefault="009166AB">
            <w:pPr>
              <w:rPr>
                <w:rFonts w:ascii="Arial" w:hAnsi="Arial" w:cs="Arial"/>
                <w:color w:val="000000"/>
                <w:sz w:val="22"/>
                <w:szCs w:val="22"/>
              </w:rPr>
            </w:pPr>
            <w:r w:rsidRPr="009166AB">
              <w:rPr>
                <w:rFonts w:ascii="Arial" w:hAnsi="Arial" w:cs="Arial"/>
                <w:color w:val="000000"/>
                <w:sz w:val="22"/>
                <w:szCs w:val="22"/>
              </w:rPr>
              <w:t>Yes</w:t>
            </w:r>
          </w:p>
        </w:tc>
      </w:tr>
    </w:tbl>
    <w:p w14:paraId="02D2753F" w14:textId="77777777" w:rsidR="009166AB" w:rsidRPr="008E3F19" w:rsidRDefault="009166AB" w:rsidP="009166AB">
      <w:pPr>
        <w:jc w:val="both"/>
        <w:rPr>
          <w:rFonts w:ascii="Arial" w:hAnsi="Arial" w:cs="Arial"/>
        </w:rPr>
      </w:pPr>
    </w:p>
    <w:p w14:paraId="778F1ACD" w14:textId="77777777" w:rsidR="008E3F19" w:rsidRPr="008E3F19" w:rsidRDefault="008E3F19" w:rsidP="00AF245F">
      <w:pPr>
        <w:pStyle w:val="Heading3"/>
      </w:pPr>
      <w:r w:rsidRPr="008E3F19">
        <w:t>Table 3.</w:t>
      </w:r>
    </w:p>
    <w:p w14:paraId="4804188B" w14:textId="77777777" w:rsidR="008E3F19" w:rsidRPr="008E3F19" w:rsidRDefault="008E3F19" w:rsidP="009166AB">
      <w:pPr>
        <w:jc w:val="both"/>
        <w:rPr>
          <w:rFonts w:ascii="Arial" w:hAnsi="Arial" w:cs="Arial"/>
        </w:rPr>
      </w:pPr>
      <w:r w:rsidRPr="008E3F19">
        <w:rPr>
          <w:rFonts w:ascii="Arial" w:hAnsi="Arial" w:cs="Arial"/>
        </w:rPr>
        <w:t>Summary of canonical correspondence analyses by vegetation stratum. Environmental variables were selected following iterative variance inflation factor screening (threshold = 10). Significance of constrained inertia was assessed using 999 permutations.</w:t>
      </w:r>
    </w:p>
    <w:tbl>
      <w:tblPr>
        <w:tblW w:w="5000" w:type="pct"/>
        <w:tblLook w:val="04A0" w:firstRow="1" w:lastRow="0" w:firstColumn="1" w:lastColumn="0" w:noHBand="0" w:noVBand="1"/>
      </w:tblPr>
      <w:tblGrid>
        <w:gridCol w:w="1537"/>
        <w:gridCol w:w="742"/>
        <w:gridCol w:w="693"/>
        <w:gridCol w:w="1460"/>
        <w:gridCol w:w="1081"/>
        <w:gridCol w:w="1119"/>
        <w:gridCol w:w="742"/>
        <w:gridCol w:w="645"/>
        <w:gridCol w:w="1341"/>
      </w:tblGrid>
      <w:tr w:rsidR="00C423DF" w14:paraId="51F68137" w14:textId="77777777" w:rsidTr="00C423DF">
        <w:trPr>
          <w:trHeight w:val="300"/>
        </w:trPr>
        <w:tc>
          <w:tcPr>
            <w:tcW w:w="672" w:type="pct"/>
            <w:tcBorders>
              <w:top w:val="single" w:sz="4" w:space="0" w:color="auto"/>
              <w:left w:val="nil"/>
              <w:bottom w:val="single" w:sz="4" w:space="0" w:color="auto"/>
              <w:right w:val="nil"/>
            </w:tcBorders>
            <w:vAlign w:val="center"/>
            <w:hideMark/>
          </w:tcPr>
          <w:p w14:paraId="605ABAC9"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Stratum</w:t>
            </w:r>
          </w:p>
        </w:tc>
        <w:tc>
          <w:tcPr>
            <w:tcW w:w="330" w:type="pct"/>
            <w:tcBorders>
              <w:top w:val="single" w:sz="4" w:space="0" w:color="auto"/>
              <w:left w:val="nil"/>
              <w:bottom w:val="single" w:sz="4" w:space="0" w:color="auto"/>
              <w:right w:val="nil"/>
            </w:tcBorders>
            <w:vAlign w:val="center"/>
            <w:hideMark/>
          </w:tcPr>
          <w:p w14:paraId="13BCA0E4"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Sites</w:t>
            </w:r>
          </w:p>
        </w:tc>
        <w:tc>
          <w:tcPr>
            <w:tcW w:w="430" w:type="pct"/>
            <w:tcBorders>
              <w:top w:val="single" w:sz="4" w:space="0" w:color="auto"/>
              <w:left w:val="nil"/>
              <w:bottom w:val="single" w:sz="4" w:space="0" w:color="auto"/>
              <w:right w:val="nil"/>
            </w:tcBorders>
            <w:vAlign w:val="center"/>
            <w:hideMark/>
          </w:tcPr>
          <w:p w14:paraId="46750592"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Spp.</w:t>
            </w:r>
          </w:p>
        </w:tc>
        <w:tc>
          <w:tcPr>
            <w:tcW w:w="889" w:type="pct"/>
            <w:tcBorders>
              <w:top w:val="single" w:sz="4" w:space="0" w:color="auto"/>
              <w:left w:val="nil"/>
              <w:bottom w:val="single" w:sz="4" w:space="0" w:color="auto"/>
              <w:right w:val="nil"/>
            </w:tcBorders>
            <w:vAlign w:val="center"/>
            <w:hideMark/>
          </w:tcPr>
          <w:p w14:paraId="12639B77"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Selected variables</w:t>
            </w:r>
          </w:p>
        </w:tc>
        <w:tc>
          <w:tcPr>
            <w:tcW w:w="665" w:type="pct"/>
            <w:tcBorders>
              <w:top w:val="single" w:sz="4" w:space="0" w:color="auto"/>
              <w:left w:val="nil"/>
              <w:bottom w:val="single" w:sz="4" w:space="0" w:color="auto"/>
              <w:right w:val="nil"/>
            </w:tcBorders>
            <w:vAlign w:val="center"/>
            <w:hideMark/>
          </w:tcPr>
          <w:p w14:paraId="124FED83"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Total inertia</w:t>
            </w:r>
          </w:p>
        </w:tc>
        <w:tc>
          <w:tcPr>
            <w:tcW w:w="685" w:type="pct"/>
            <w:tcBorders>
              <w:top w:val="single" w:sz="4" w:space="0" w:color="auto"/>
              <w:left w:val="nil"/>
              <w:bottom w:val="single" w:sz="4" w:space="0" w:color="auto"/>
              <w:right w:val="nil"/>
            </w:tcBorders>
            <w:vAlign w:val="center"/>
            <w:hideMark/>
          </w:tcPr>
          <w:p w14:paraId="1F5786CB"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Constr. inertia</w:t>
            </w:r>
          </w:p>
        </w:tc>
        <w:tc>
          <w:tcPr>
            <w:tcW w:w="455" w:type="pct"/>
            <w:tcBorders>
              <w:top w:val="single" w:sz="4" w:space="0" w:color="auto"/>
              <w:left w:val="nil"/>
              <w:bottom w:val="single" w:sz="4" w:space="0" w:color="auto"/>
              <w:right w:val="nil"/>
            </w:tcBorders>
            <w:vAlign w:val="center"/>
            <w:hideMark/>
          </w:tcPr>
          <w:p w14:paraId="7BDAE92B"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 xml:space="preserve">% </w:t>
            </w:r>
            <w:proofErr w:type="spellStart"/>
            <w:r>
              <w:rPr>
                <w:rFonts w:ascii="Arial" w:hAnsi="Arial" w:cs="Arial"/>
                <w:b/>
                <w:bCs/>
                <w:color w:val="000000"/>
                <w:sz w:val="22"/>
                <w:szCs w:val="22"/>
              </w:rPr>
              <w:t>Expl</w:t>
            </w:r>
            <w:proofErr w:type="spellEnd"/>
            <w:r>
              <w:rPr>
                <w:rFonts w:ascii="Arial" w:hAnsi="Arial" w:cs="Arial"/>
                <w:b/>
                <w:bCs/>
                <w:color w:val="000000"/>
                <w:sz w:val="22"/>
                <w:szCs w:val="22"/>
              </w:rPr>
              <w:t>.</w:t>
            </w:r>
          </w:p>
        </w:tc>
        <w:tc>
          <w:tcPr>
            <w:tcW w:w="287" w:type="pct"/>
            <w:tcBorders>
              <w:top w:val="single" w:sz="4" w:space="0" w:color="auto"/>
              <w:left w:val="nil"/>
              <w:bottom w:val="single" w:sz="4" w:space="0" w:color="auto"/>
              <w:right w:val="nil"/>
            </w:tcBorders>
            <w:vAlign w:val="center"/>
            <w:hideMark/>
          </w:tcPr>
          <w:p w14:paraId="18300525"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p</w:t>
            </w:r>
          </w:p>
        </w:tc>
        <w:tc>
          <w:tcPr>
            <w:tcW w:w="586" w:type="pct"/>
            <w:tcBorders>
              <w:top w:val="single" w:sz="4" w:space="0" w:color="auto"/>
              <w:left w:val="nil"/>
              <w:bottom w:val="single" w:sz="4" w:space="0" w:color="auto"/>
              <w:right w:val="nil"/>
            </w:tcBorders>
            <w:vAlign w:val="center"/>
            <w:hideMark/>
          </w:tcPr>
          <w:p w14:paraId="05420CED" w14:textId="77777777" w:rsidR="00C423DF" w:rsidRDefault="00C423DF">
            <w:pPr>
              <w:jc w:val="center"/>
              <w:rPr>
                <w:rFonts w:ascii="Arial" w:hAnsi="Arial" w:cs="Arial"/>
                <w:b/>
                <w:bCs/>
                <w:color w:val="000000"/>
                <w:sz w:val="22"/>
                <w:szCs w:val="22"/>
              </w:rPr>
            </w:pPr>
            <w:r>
              <w:rPr>
                <w:rFonts w:ascii="Arial" w:hAnsi="Arial" w:cs="Arial"/>
                <w:b/>
                <w:bCs/>
                <w:color w:val="000000"/>
                <w:sz w:val="22"/>
                <w:szCs w:val="22"/>
              </w:rPr>
              <w:t>Significant</w:t>
            </w:r>
          </w:p>
        </w:tc>
      </w:tr>
      <w:tr w:rsidR="00C423DF" w14:paraId="506B89CE" w14:textId="77777777" w:rsidTr="00C423DF">
        <w:trPr>
          <w:trHeight w:val="570"/>
        </w:trPr>
        <w:tc>
          <w:tcPr>
            <w:tcW w:w="672" w:type="pct"/>
            <w:tcBorders>
              <w:top w:val="nil"/>
              <w:left w:val="nil"/>
              <w:bottom w:val="nil"/>
              <w:right w:val="nil"/>
            </w:tcBorders>
            <w:vAlign w:val="center"/>
            <w:hideMark/>
          </w:tcPr>
          <w:p w14:paraId="78C7FFC2" w14:textId="77777777" w:rsidR="00C423DF" w:rsidRDefault="00C423DF">
            <w:pPr>
              <w:rPr>
                <w:rFonts w:ascii="Arial" w:hAnsi="Arial" w:cs="Arial"/>
                <w:color w:val="000000"/>
                <w:sz w:val="22"/>
                <w:szCs w:val="22"/>
              </w:rPr>
            </w:pPr>
            <w:r>
              <w:rPr>
                <w:rFonts w:ascii="Arial" w:hAnsi="Arial" w:cs="Arial"/>
                <w:color w:val="000000"/>
                <w:sz w:val="22"/>
                <w:szCs w:val="22"/>
              </w:rPr>
              <w:t>Trees</w:t>
            </w:r>
          </w:p>
        </w:tc>
        <w:tc>
          <w:tcPr>
            <w:tcW w:w="330" w:type="pct"/>
            <w:tcBorders>
              <w:top w:val="nil"/>
              <w:left w:val="nil"/>
              <w:bottom w:val="nil"/>
              <w:right w:val="nil"/>
            </w:tcBorders>
            <w:vAlign w:val="center"/>
            <w:hideMark/>
          </w:tcPr>
          <w:p w14:paraId="2BAB9B15" w14:textId="77777777" w:rsidR="00C423DF" w:rsidRDefault="00C423DF">
            <w:pPr>
              <w:jc w:val="right"/>
              <w:rPr>
                <w:rFonts w:ascii="Arial" w:hAnsi="Arial" w:cs="Arial"/>
                <w:color w:val="000000"/>
                <w:sz w:val="22"/>
                <w:szCs w:val="22"/>
              </w:rPr>
            </w:pPr>
            <w:r>
              <w:rPr>
                <w:rFonts w:ascii="Arial" w:hAnsi="Arial" w:cs="Arial"/>
                <w:color w:val="000000"/>
                <w:sz w:val="22"/>
                <w:szCs w:val="22"/>
              </w:rPr>
              <w:t>216</w:t>
            </w:r>
          </w:p>
        </w:tc>
        <w:tc>
          <w:tcPr>
            <w:tcW w:w="430" w:type="pct"/>
            <w:tcBorders>
              <w:top w:val="nil"/>
              <w:left w:val="nil"/>
              <w:bottom w:val="nil"/>
              <w:right w:val="nil"/>
            </w:tcBorders>
            <w:vAlign w:val="center"/>
            <w:hideMark/>
          </w:tcPr>
          <w:p w14:paraId="716933CA" w14:textId="77777777" w:rsidR="00C423DF" w:rsidRDefault="00C423DF">
            <w:pPr>
              <w:jc w:val="right"/>
              <w:rPr>
                <w:rFonts w:ascii="Arial" w:hAnsi="Arial" w:cs="Arial"/>
                <w:color w:val="000000"/>
                <w:sz w:val="22"/>
                <w:szCs w:val="22"/>
              </w:rPr>
            </w:pPr>
            <w:r>
              <w:rPr>
                <w:rFonts w:ascii="Arial" w:hAnsi="Arial" w:cs="Arial"/>
                <w:color w:val="000000"/>
                <w:sz w:val="22"/>
                <w:szCs w:val="22"/>
              </w:rPr>
              <w:t>221</w:t>
            </w:r>
          </w:p>
        </w:tc>
        <w:tc>
          <w:tcPr>
            <w:tcW w:w="889" w:type="pct"/>
            <w:tcBorders>
              <w:top w:val="nil"/>
              <w:left w:val="nil"/>
              <w:bottom w:val="nil"/>
              <w:right w:val="nil"/>
            </w:tcBorders>
            <w:vAlign w:val="center"/>
            <w:hideMark/>
          </w:tcPr>
          <w:p w14:paraId="6BF4D14E" w14:textId="77777777" w:rsidR="00C423DF" w:rsidRDefault="00C423DF">
            <w:pPr>
              <w:rPr>
                <w:rFonts w:ascii="Arial" w:hAnsi="Arial" w:cs="Arial"/>
                <w:color w:val="000000"/>
                <w:sz w:val="22"/>
                <w:szCs w:val="22"/>
              </w:rPr>
            </w:pPr>
            <w:r>
              <w:rPr>
                <w:rFonts w:ascii="Arial" w:hAnsi="Arial" w:cs="Arial"/>
                <w:color w:val="000000"/>
                <w:sz w:val="22"/>
                <w:szCs w:val="22"/>
              </w:rPr>
              <w:t xml:space="preserve">aspect; </w:t>
            </w:r>
            <w:proofErr w:type="spellStart"/>
            <w:r>
              <w:rPr>
                <w:rFonts w:ascii="Arial" w:hAnsi="Arial" w:cs="Arial"/>
                <w:color w:val="000000"/>
                <w:sz w:val="22"/>
                <w:szCs w:val="22"/>
              </w:rPr>
              <w:t>eto</w:t>
            </w:r>
            <w:proofErr w:type="spellEnd"/>
            <w:r>
              <w:rPr>
                <w:rFonts w:ascii="Arial" w:hAnsi="Arial" w:cs="Arial"/>
                <w:color w:val="000000"/>
                <w:sz w:val="22"/>
                <w:szCs w:val="22"/>
              </w:rPr>
              <w:t xml:space="preserve">; </w:t>
            </w:r>
            <w:proofErr w:type="spellStart"/>
            <w:r>
              <w:rPr>
                <w:rFonts w:ascii="Arial" w:hAnsi="Arial" w:cs="Arial"/>
                <w:color w:val="000000"/>
                <w:sz w:val="22"/>
                <w:szCs w:val="22"/>
              </w:rPr>
              <w:t>lat</w:t>
            </w:r>
            <w:proofErr w:type="spellEnd"/>
            <w:r>
              <w:rPr>
                <w:rFonts w:ascii="Arial" w:hAnsi="Arial" w:cs="Arial"/>
                <w:color w:val="000000"/>
                <w:sz w:val="22"/>
                <w:szCs w:val="22"/>
              </w:rPr>
              <w:t>; long; slope</w:t>
            </w:r>
          </w:p>
        </w:tc>
        <w:tc>
          <w:tcPr>
            <w:tcW w:w="665" w:type="pct"/>
            <w:tcBorders>
              <w:top w:val="nil"/>
              <w:left w:val="nil"/>
              <w:bottom w:val="nil"/>
              <w:right w:val="nil"/>
            </w:tcBorders>
            <w:vAlign w:val="center"/>
            <w:hideMark/>
          </w:tcPr>
          <w:p w14:paraId="2A0E802B" w14:textId="77777777" w:rsidR="00C423DF" w:rsidRDefault="00C423DF">
            <w:pPr>
              <w:jc w:val="right"/>
              <w:rPr>
                <w:rFonts w:ascii="Arial" w:hAnsi="Arial" w:cs="Arial"/>
                <w:color w:val="000000"/>
                <w:sz w:val="22"/>
                <w:szCs w:val="22"/>
              </w:rPr>
            </w:pPr>
            <w:r>
              <w:rPr>
                <w:rFonts w:ascii="Arial" w:hAnsi="Arial" w:cs="Arial"/>
                <w:color w:val="000000"/>
                <w:sz w:val="22"/>
                <w:szCs w:val="22"/>
              </w:rPr>
              <w:t>35.117</w:t>
            </w:r>
          </w:p>
        </w:tc>
        <w:tc>
          <w:tcPr>
            <w:tcW w:w="685" w:type="pct"/>
            <w:tcBorders>
              <w:top w:val="nil"/>
              <w:left w:val="nil"/>
              <w:bottom w:val="nil"/>
              <w:right w:val="nil"/>
            </w:tcBorders>
            <w:vAlign w:val="center"/>
            <w:hideMark/>
          </w:tcPr>
          <w:p w14:paraId="0957BB94" w14:textId="77777777" w:rsidR="00C423DF" w:rsidRDefault="00C423DF">
            <w:pPr>
              <w:jc w:val="right"/>
              <w:rPr>
                <w:rFonts w:ascii="Arial" w:hAnsi="Arial" w:cs="Arial"/>
                <w:color w:val="000000"/>
                <w:sz w:val="22"/>
                <w:szCs w:val="22"/>
              </w:rPr>
            </w:pPr>
            <w:r>
              <w:rPr>
                <w:rFonts w:ascii="Arial" w:hAnsi="Arial" w:cs="Arial"/>
                <w:color w:val="000000"/>
                <w:sz w:val="22"/>
                <w:szCs w:val="22"/>
              </w:rPr>
              <w:t>1.109</w:t>
            </w:r>
          </w:p>
        </w:tc>
        <w:tc>
          <w:tcPr>
            <w:tcW w:w="455" w:type="pct"/>
            <w:tcBorders>
              <w:top w:val="nil"/>
              <w:left w:val="nil"/>
              <w:bottom w:val="nil"/>
              <w:right w:val="nil"/>
            </w:tcBorders>
            <w:vAlign w:val="center"/>
            <w:hideMark/>
          </w:tcPr>
          <w:p w14:paraId="05C3DAF6" w14:textId="77777777" w:rsidR="00C423DF" w:rsidRDefault="00C423DF">
            <w:pPr>
              <w:jc w:val="right"/>
              <w:rPr>
                <w:rFonts w:ascii="Arial" w:hAnsi="Arial" w:cs="Arial"/>
                <w:color w:val="000000"/>
                <w:sz w:val="22"/>
                <w:szCs w:val="22"/>
              </w:rPr>
            </w:pPr>
            <w:r>
              <w:rPr>
                <w:rFonts w:ascii="Arial" w:hAnsi="Arial" w:cs="Arial"/>
                <w:color w:val="000000"/>
                <w:sz w:val="22"/>
                <w:szCs w:val="22"/>
              </w:rPr>
              <w:t>3.2</w:t>
            </w:r>
          </w:p>
        </w:tc>
        <w:tc>
          <w:tcPr>
            <w:tcW w:w="287" w:type="pct"/>
            <w:tcBorders>
              <w:top w:val="nil"/>
              <w:left w:val="nil"/>
              <w:bottom w:val="nil"/>
              <w:right w:val="nil"/>
            </w:tcBorders>
            <w:vAlign w:val="center"/>
            <w:hideMark/>
          </w:tcPr>
          <w:p w14:paraId="45B3B9B4" w14:textId="77777777" w:rsidR="00C423DF" w:rsidRDefault="00C423DF">
            <w:pPr>
              <w:jc w:val="right"/>
              <w:rPr>
                <w:rFonts w:ascii="Arial" w:hAnsi="Arial" w:cs="Arial"/>
                <w:color w:val="000000"/>
                <w:sz w:val="22"/>
                <w:szCs w:val="22"/>
              </w:rPr>
            </w:pPr>
            <w:r>
              <w:rPr>
                <w:rFonts w:ascii="Arial" w:hAnsi="Arial" w:cs="Arial"/>
                <w:color w:val="000000"/>
                <w:sz w:val="22"/>
                <w:szCs w:val="22"/>
              </w:rPr>
              <w:t>0.01</w:t>
            </w:r>
          </w:p>
        </w:tc>
        <w:tc>
          <w:tcPr>
            <w:tcW w:w="586" w:type="pct"/>
            <w:tcBorders>
              <w:top w:val="nil"/>
              <w:left w:val="nil"/>
              <w:bottom w:val="nil"/>
              <w:right w:val="nil"/>
            </w:tcBorders>
            <w:vAlign w:val="center"/>
            <w:hideMark/>
          </w:tcPr>
          <w:p w14:paraId="1AE7F9EC" w14:textId="77777777" w:rsidR="00C423DF" w:rsidRDefault="00C423DF">
            <w:pPr>
              <w:rPr>
                <w:rFonts w:ascii="Arial" w:hAnsi="Arial" w:cs="Arial"/>
                <w:color w:val="000000"/>
                <w:sz w:val="22"/>
                <w:szCs w:val="22"/>
              </w:rPr>
            </w:pPr>
            <w:r>
              <w:rPr>
                <w:rFonts w:ascii="Arial" w:hAnsi="Arial" w:cs="Arial"/>
                <w:color w:val="000000"/>
                <w:sz w:val="22"/>
                <w:szCs w:val="22"/>
              </w:rPr>
              <w:t>Yes</w:t>
            </w:r>
          </w:p>
        </w:tc>
      </w:tr>
      <w:tr w:rsidR="00C423DF" w14:paraId="0CD6293B" w14:textId="77777777" w:rsidTr="00C423DF">
        <w:trPr>
          <w:trHeight w:val="570"/>
        </w:trPr>
        <w:tc>
          <w:tcPr>
            <w:tcW w:w="672" w:type="pct"/>
            <w:tcBorders>
              <w:top w:val="nil"/>
              <w:left w:val="nil"/>
              <w:bottom w:val="nil"/>
              <w:right w:val="nil"/>
            </w:tcBorders>
            <w:vAlign w:val="center"/>
            <w:hideMark/>
          </w:tcPr>
          <w:p w14:paraId="48929115" w14:textId="77777777" w:rsidR="00C423DF" w:rsidRDefault="00C423DF">
            <w:pPr>
              <w:rPr>
                <w:rFonts w:ascii="Arial" w:hAnsi="Arial" w:cs="Arial"/>
                <w:color w:val="000000"/>
                <w:sz w:val="22"/>
                <w:szCs w:val="22"/>
              </w:rPr>
            </w:pPr>
            <w:r>
              <w:rPr>
                <w:rFonts w:ascii="Arial" w:hAnsi="Arial" w:cs="Arial"/>
                <w:color w:val="000000"/>
                <w:sz w:val="22"/>
                <w:szCs w:val="22"/>
              </w:rPr>
              <w:t>Shrubs</w:t>
            </w:r>
          </w:p>
        </w:tc>
        <w:tc>
          <w:tcPr>
            <w:tcW w:w="330" w:type="pct"/>
            <w:tcBorders>
              <w:top w:val="nil"/>
              <w:left w:val="nil"/>
              <w:bottom w:val="nil"/>
              <w:right w:val="nil"/>
            </w:tcBorders>
            <w:vAlign w:val="center"/>
            <w:hideMark/>
          </w:tcPr>
          <w:p w14:paraId="39D4A606" w14:textId="77777777" w:rsidR="00C423DF" w:rsidRDefault="00C423DF">
            <w:pPr>
              <w:jc w:val="right"/>
              <w:rPr>
                <w:rFonts w:ascii="Arial" w:hAnsi="Arial" w:cs="Arial"/>
                <w:color w:val="000000"/>
                <w:sz w:val="22"/>
                <w:szCs w:val="22"/>
              </w:rPr>
            </w:pPr>
            <w:r>
              <w:rPr>
                <w:rFonts w:ascii="Arial" w:hAnsi="Arial" w:cs="Arial"/>
                <w:color w:val="000000"/>
                <w:sz w:val="22"/>
                <w:szCs w:val="22"/>
              </w:rPr>
              <w:t>194</w:t>
            </w:r>
          </w:p>
        </w:tc>
        <w:tc>
          <w:tcPr>
            <w:tcW w:w="430" w:type="pct"/>
            <w:tcBorders>
              <w:top w:val="nil"/>
              <w:left w:val="nil"/>
              <w:bottom w:val="nil"/>
              <w:right w:val="nil"/>
            </w:tcBorders>
            <w:vAlign w:val="center"/>
            <w:hideMark/>
          </w:tcPr>
          <w:p w14:paraId="2DF21464" w14:textId="77777777" w:rsidR="00C423DF" w:rsidRDefault="00C423DF">
            <w:pPr>
              <w:jc w:val="right"/>
              <w:rPr>
                <w:rFonts w:ascii="Arial" w:hAnsi="Arial" w:cs="Arial"/>
                <w:color w:val="000000"/>
                <w:sz w:val="22"/>
                <w:szCs w:val="22"/>
              </w:rPr>
            </w:pPr>
            <w:r>
              <w:rPr>
                <w:rFonts w:ascii="Arial" w:hAnsi="Arial" w:cs="Arial"/>
                <w:color w:val="000000"/>
                <w:sz w:val="22"/>
                <w:szCs w:val="22"/>
              </w:rPr>
              <w:t>101</w:t>
            </w:r>
          </w:p>
        </w:tc>
        <w:tc>
          <w:tcPr>
            <w:tcW w:w="889" w:type="pct"/>
            <w:tcBorders>
              <w:top w:val="nil"/>
              <w:left w:val="nil"/>
              <w:bottom w:val="nil"/>
              <w:right w:val="nil"/>
            </w:tcBorders>
            <w:vAlign w:val="center"/>
            <w:hideMark/>
          </w:tcPr>
          <w:p w14:paraId="3B04FC7F" w14:textId="77777777" w:rsidR="00C423DF" w:rsidRDefault="00C423DF">
            <w:pPr>
              <w:rPr>
                <w:rFonts w:ascii="Arial" w:hAnsi="Arial" w:cs="Arial"/>
                <w:color w:val="000000"/>
                <w:sz w:val="22"/>
                <w:szCs w:val="22"/>
              </w:rPr>
            </w:pPr>
            <w:r>
              <w:rPr>
                <w:rFonts w:ascii="Arial" w:hAnsi="Arial" w:cs="Arial"/>
                <w:color w:val="000000"/>
                <w:sz w:val="22"/>
                <w:szCs w:val="22"/>
              </w:rPr>
              <w:t xml:space="preserve">aspect; </w:t>
            </w:r>
            <w:proofErr w:type="spellStart"/>
            <w:r>
              <w:rPr>
                <w:rFonts w:ascii="Arial" w:hAnsi="Arial" w:cs="Arial"/>
                <w:color w:val="000000"/>
                <w:sz w:val="22"/>
                <w:szCs w:val="22"/>
              </w:rPr>
              <w:t>eto</w:t>
            </w:r>
            <w:proofErr w:type="spellEnd"/>
            <w:r>
              <w:rPr>
                <w:rFonts w:ascii="Arial" w:hAnsi="Arial" w:cs="Arial"/>
                <w:color w:val="000000"/>
                <w:sz w:val="22"/>
                <w:szCs w:val="22"/>
              </w:rPr>
              <w:t xml:space="preserve">; </w:t>
            </w:r>
            <w:proofErr w:type="spellStart"/>
            <w:r>
              <w:rPr>
                <w:rFonts w:ascii="Arial" w:hAnsi="Arial" w:cs="Arial"/>
                <w:color w:val="000000"/>
                <w:sz w:val="22"/>
                <w:szCs w:val="22"/>
              </w:rPr>
              <w:t>lat</w:t>
            </w:r>
            <w:proofErr w:type="spellEnd"/>
            <w:r>
              <w:rPr>
                <w:rFonts w:ascii="Arial" w:hAnsi="Arial" w:cs="Arial"/>
                <w:color w:val="000000"/>
                <w:sz w:val="22"/>
                <w:szCs w:val="22"/>
              </w:rPr>
              <w:t>; long; slope</w:t>
            </w:r>
          </w:p>
        </w:tc>
        <w:tc>
          <w:tcPr>
            <w:tcW w:w="665" w:type="pct"/>
            <w:tcBorders>
              <w:top w:val="nil"/>
              <w:left w:val="nil"/>
              <w:bottom w:val="nil"/>
              <w:right w:val="nil"/>
            </w:tcBorders>
            <w:vAlign w:val="center"/>
            <w:hideMark/>
          </w:tcPr>
          <w:p w14:paraId="49576881" w14:textId="77777777" w:rsidR="00C423DF" w:rsidRDefault="00C423DF">
            <w:pPr>
              <w:jc w:val="right"/>
              <w:rPr>
                <w:rFonts w:ascii="Arial" w:hAnsi="Arial" w:cs="Arial"/>
                <w:color w:val="000000"/>
                <w:sz w:val="22"/>
                <w:szCs w:val="22"/>
              </w:rPr>
            </w:pPr>
            <w:r>
              <w:rPr>
                <w:rFonts w:ascii="Arial" w:hAnsi="Arial" w:cs="Arial"/>
                <w:color w:val="000000"/>
                <w:sz w:val="22"/>
                <w:szCs w:val="22"/>
              </w:rPr>
              <w:t>27.832</w:t>
            </w:r>
          </w:p>
        </w:tc>
        <w:tc>
          <w:tcPr>
            <w:tcW w:w="685" w:type="pct"/>
            <w:tcBorders>
              <w:top w:val="nil"/>
              <w:left w:val="nil"/>
              <w:bottom w:val="nil"/>
              <w:right w:val="nil"/>
            </w:tcBorders>
            <w:vAlign w:val="center"/>
            <w:hideMark/>
          </w:tcPr>
          <w:p w14:paraId="39510AEF" w14:textId="77777777" w:rsidR="00C423DF" w:rsidRDefault="00C423DF">
            <w:pPr>
              <w:jc w:val="right"/>
              <w:rPr>
                <w:rFonts w:ascii="Arial" w:hAnsi="Arial" w:cs="Arial"/>
                <w:color w:val="000000"/>
                <w:sz w:val="22"/>
                <w:szCs w:val="22"/>
              </w:rPr>
            </w:pPr>
            <w:r>
              <w:rPr>
                <w:rFonts w:ascii="Arial" w:hAnsi="Arial" w:cs="Arial"/>
                <w:color w:val="000000"/>
                <w:sz w:val="22"/>
                <w:szCs w:val="22"/>
              </w:rPr>
              <w:t>1.045</w:t>
            </w:r>
          </w:p>
        </w:tc>
        <w:tc>
          <w:tcPr>
            <w:tcW w:w="455" w:type="pct"/>
            <w:tcBorders>
              <w:top w:val="nil"/>
              <w:left w:val="nil"/>
              <w:bottom w:val="nil"/>
              <w:right w:val="nil"/>
            </w:tcBorders>
            <w:vAlign w:val="center"/>
            <w:hideMark/>
          </w:tcPr>
          <w:p w14:paraId="751D4624" w14:textId="77777777" w:rsidR="00C423DF" w:rsidRDefault="00C423DF">
            <w:pPr>
              <w:jc w:val="right"/>
              <w:rPr>
                <w:rFonts w:ascii="Arial" w:hAnsi="Arial" w:cs="Arial"/>
                <w:color w:val="000000"/>
                <w:sz w:val="22"/>
                <w:szCs w:val="22"/>
              </w:rPr>
            </w:pPr>
            <w:r>
              <w:rPr>
                <w:rFonts w:ascii="Arial" w:hAnsi="Arial" w:cs="Arial"/>
                <w:color w:val="000000"/>
                <w:sz w:val="22"/>
                <w:szCs w:val="22"/>
              </w:rPr>
              <w:t>3.8</w:t>
            </w:r>
          </w:p>
        </w:tc>
        <w:tc>
          <w:tcPr>
            <w:tcW w:w="287" w:type="pct"/>
            <w:tcBorders>
              <w:top w:val="nil"/>
              <w:left w:val="nil"/>
              <w:bottom w:val="nil"/>
              <w:right w:val="nil"/>
            </w:tcBorders>
            <w:vAlign w:val="center"/>
            <w:hideMark/>
          </w:tcPr>
          <w:p w14:paraId="7F18D2AD" w14:textId="77777777" w:rsidR="00C423DF" w:rsidRDefault="00C423DF">
            <w:pPr>
              <w:jc w:val="right"/>
              <w:rPr>
                <w:rFonts w:ascii="Arial" w:hAnsi="Arial" w:cs="Arial"/>
                <w:color w:val="000000"/>
                <w:sz w:val="22"/>
                <w:szCs w:val="22"/>
              </w:rPr>
            </w:pPr>
            <w:r>
              <w:rPr>
                <w:rFonts w:ascii="Arial" w:hAnsi="Arial" w:cs="Arial"/>
                <w:color w:val="000000"/>
                <w:sz w:val="22"/>
                <w:szCs w:val="22"/>
              </w:rPr>
              <w:t>0</w:t>
            </w:r>
          </w:p>
        </w:tc>
        <w:tc>
          <w:tcPr>
            <w:tcW w:w="586" w:type="pct"/>
            <w:tcBorders>
              <w:top w:val="nil"/>
              <w:left w:val="nil"/>
              <w:bottom w:val="nil"/>
              <w:right w:val="nil"/>
            </w:tcBorders>
            <w:vAlign w:val="center"/>
            <w:hideMark/>
          </w:tcPr>
          <w:p w14:paraId="765743EF" w14:textId="77777777" w:rsidR="00C423DF" w:rsidRDefault="00C423DF">
            <w:pPr>
              <w:rPr>
                <w:rFonts w:ascii="Arial" w:hAnsi="Arial" w:cs="Arial"/>
                <w:color w:val="000000"/>
                <w:sz w:val="22"/>
                <w:szCs w:val="22"/>
              </w:rPr>
            </w:pPr>
            <w:r>
              <w:rPr>
                <w:rFonts w:ascii="Arial" w:hAnsi="Arial" w:cs="Arial"/>
                <w:color w:val="000000"/>
                <w:sz w:val="22"/>
                <w:szCs w:val="22"/>
              </w:rPr>
              <w:t>Yes</w:t>
            </w:r>
          </w:p>
        </w:tc>
      </w:tr>
      <w:tr w:rsidR="00C423DF" w14:paraId="44B1B748" w14:textId="77777777" w:rsidTr="00C423DF">
        <w:trPr>
          <w:trHeight w:val="570"/>
        </w:trPr>
        <w:tc>
          <w:tcPr>
            <w:tcW w:w="672" w:type="pct"/>
            <w:tcBorders>
              <w:top w:val="nil"/>
              <w:left w:val="nil"/>
              <w:bottom w:val="nil"/>
              <w:right w:val="nil"/>
            </w:tcBorders>
            <w:vAlign w:val="center"/>
            <w:hideMark/>
          </w:tcPr>
          <w:p w14:paraId="0EF86439" w14:textId="77777777" w:rsidR="00C423DF" w:rsidRDefault="00C423DF">
            <w:pPr>
              <w:rPr>
                <w:rFonts w:ascii="Arial" w:hAnsi="Arial" w:cs="Arial"/>
                <w:color w:val="000000"/>
                <w:sz w:val="22"/>
                <w:szCs w:val="22"/>
              </w:rPr>
            </w:pPr>
            <w:r>
              <w:rPr>
                <w:rFonts w:ascii="Arial" w:hAnsi="Arial" w:cs="Arial"/>
                <w:color w:val="000000"/>
                <w:sz w:val="22"/>
                <w:szCs w:val="22"/>
              </w:rPr>
              <w:t>Herbs</w:t>
            </w:r>
          </w:p>
        </w:tc>
        <w:tc>
          <w:tcPr>
            <w:tcW w:w="330" w:type="pct"/>
            <w:tcBorders>
              <w:top w:val="nil"/>
              <w:left w:val="nil"/>
              <w:bottom w:val="nil"/>
              <w:right w:val="nil"/>
            </w:tcBorders>
            <w:vAlign w:val="center"/>
            <w:hideMark/>
          </w:tcPr>
          <w:p w14:paraId="6A29A37D" w14:textId="77777777" w:rsidR="00C423DF" w:rsidRDefault="00C423DF">
            <w:pPr>
              <w:jc w:val="right"/>
              <w:rPr>
                <w:rFonts w:ascii="Arial" w:hAnsi="Arial" w:cs="Arial"/>
                <w:color w:val="000000"/>
                <w:sz w:val="22"/>
                <w:szCs w:val="22"/>
              </w:rPr>
            </w:pPr>
            <w:r>
              <w:rPr>
                <w:rFonts w:ascii="Arial" w:hAnsi="Arial" w:cs="Arial"/>
                <w:color w:val="000000"/>
                <w:sz w:val="22"/>
                <w:szCs w:val="22"/>
              </w:rPr>
              <w:t>206</w:t>
            </w:r>
          </w:p>
        </w:tc>
        <w:tc>
          <w:tcPr>
            <w:tcW w:w="430" w:type="pct"/>
            <w:tcBorders>
              <w:top w:val="nil"/>
              <w:left w:val="nil"/>
              <w:bottom w:val="nil"/>
              <w:right w:val="nil"/>
            </w:tcBorders>
            <w:vAlign w:val="center"/>
            <w:hideMark/>
          </w:tcPr>
          <w:p w14:paraId="5A71E8DF" w14:textId="77777777" w:rsidR="00C423DF" w:rsidRDefault="00C423DF">
            <w:pPr>
              <w:jc w:val="right"/>
              <w:rPr>
                <w:rFonts w:ascii="Arial" w:hAnsi="Arial" w:cs="Arial"/>
                <w:color w:val="000000"/>
                <w:sz w:val="22"/>
                <w:szCs w:val="22"/>
              </w:rPr>
            </w:pPr>
            <w:r>
              <w:rPr>
                <w:rFonts w:ascii="Arial" w:hAnsi="Arial" w:cs="Arial"/>
                <w:color w:val="000000"/>
                <w:sz w:val="22"/>
                <w:szCs w:val="22"/>
              </w:rPr>
              <w:t>134</w:t>
            </w:r>
          </w:p>
        </w:tc>
        <w:tc>
          <w:tcPr>
            <w:tcW w:w="889" w:type="pct"/>
            <w:tcBorders>
              <w:top w:val="nil"/>
              <w:left w:val="nil"/>
              <w:bottom w:val="nil"/>
              <w:right w:val="nil"/>
            </w:tcBorders>
            <w:vAlign w:val="center"/>
            <w:hideMark/>
          </w:tcPr>
          <w:p w14:paraId="5EFF9385" w14:textId="77777777" w:rsidR="00C423DF" w:rsidRDefault="00C423DF">
            <w:pPr>
              <w:rPr>
                <w:rFonts w:ascii="Arial" w:hAnsi="Arial" w:cs="Arial"/>
                <w:color w:val="000000"/>
                <w:sz w:val="22"/>
                <w:szCs w:val="22"/>
              </w:rPr>
            </w:pPr>
            <w:r>
              <w:rPr>
                <w:rFonts w:ascii="Arial" w:hAnsi="Arial" w:cs="Arial"/>
                <w:color w:val="000000"/>
                <w:sz w:val="22"/>
                <w:szCs w:val="22"/>
              </w:rPr>
              <w:t xml:space="preserve">aspect; </w:t>
            </w:r>
            <w:proofErr w:type="spellStart"/>
            <w:r>
              <w:rPr>
                <w:rFonts w:ascii="Arial" w:hAnsi="Arial" w:cs="Arial"/>
                <w:color w:val="000000"/>
                <w:sz w:val="22"/>
                <w:szCs w:val="22"/>
              </w:rPr>
              <w:t>eto</w:t>
            </w:r>
            <w:proofErr w:type="spellEnd"/>
            <w:r>
              <w:rPr>
                <w:rFonts w:ascii="Arial" w:hAnsi="Arial" w:cs="Arial"/>
                <w:color w:val="000000"/>
                <w:sz w:val="22"/>
                <w:szCs w:val="22"/>
              </w:rPr>
              <w:t xml:space="preserve">; </w:t>
            </w:r>
            <w:proofErr w:type="spellStart"/>
            <w:r>
              <w:rPr>
                <w:rFonts w:ascii="Arial" w:hAnsi="Arial" w:cs="Arial"/>
                <w:color w:val="000000"/>
                <w:sz w:val="22"/>
                <w:szCs w:val="22"/>
              </w:rPr>
              <w:t>lat</w:t>
            </w:r>
            <w:proofErr w:type="spellEnd"/>
            <w:r>
              <w:rPr>
                <w:rFonts w:ascii="Arial" w:hAnsi="Arial" w:cs="Arial"/>
                <w:color w:val="000000"/>
                <w:sz w:val="22"/>
                <w:szCs w:val="22"/>
              </w:rPr>
              <w:t>; long; slope</w:t>
            </w:r>
          </w:p>
        </w:tc>
        <w:tc>
          <w:tcPr>
            <w:tcW w:w="665" w:type="pct"/>
            <w:tcBorders>
              <w:top w:val="nil"/>
              <w:left w:val="nil"/>
              <w:bottom w:val="nil"/>
              <w:right w:val="nil"/>
            </w:tcBorders>
            <w:vAlign w:val="center"/>
            <w:hideMark/>
          </w:tcPr>
          <w:p w14:paraId="0DCB2D5C" w14:textId="77777777" w:rsidR="00C423DF" w:rsidRDefault="00C423DF">
            <w:pPr>
              <w:jc w:val="right"/>
              <w:rPr>
                <w:rFonts w:ascii="Arial" w:hAnsi="Arial" w:cs="Arial"/>
                <w:color w:val="000000"/>
                <w:sz w:val="22"/>
                <w:szCs w:val="22"/>
              </w:rPr>
            </w:pPr>
            <w:r>
              <w:rPr>
                <w:rFonts w:ascii="Arial" w:hAnsi="Arial" w:cs="Arial"/>
                <w:color w:val="000000"/>
                <w:sz w:val="22"/>
                <w:szCs w:val="22"/>
              </w:rPr>
              <w:t>68.475</w:t>
            </w:r>
          </w:p>
        </w:tc>
        <w:tc>
          <w:tcPr>
            <w:tcW w:w="685" w:type="pct"/>
            <w:tcBorders>
              <w:top w:val="nil"/>
              <w:left w:val="nil"/>
              <w:bottom w:val="nil"/>
              <w:right w:val="nil"/>
            </w:tcBorders>
            <w:vAlign w:val="center"/>
            <w:hideMark/>
          </w:tcPr>
          <w:p w14:paraId="4697E64F" w14:textId="77777777" w:rsidR="00C423DF" w:rsidRDefault="00C423DF">
            <w:pPr>
              <w:jc w:val="right"/>
              <w:rPr>
                <w:rFonts w:ascii="Arial" w:hAnsi="Arial" w:cs="Arial"/>
                <w:color w:val="000000"/>
                <w:sz w:val="22"/>
                <w:szCs w:val="22"/>
              </w:rPr>
            </w:pPr>
            <w:r>
              <w:rPr>
                <w:rFonts w:ascii="Arial" w:hAnsi="Arial" w:cs="Arial"/>
                <w:color w:val="000000"/>
                <w:sz w:val="22"/>
                <w:szCs w:val="22"/>
              </w:rPr>
              <w:t>2.309</w:t>
            </w:r>
          </w:p>
        </w:tc>
        <w:tc>
          <w:tcPr>
            <w:tcW w:w="455" w:type="pct"/>
            <w:tcBorders>
              <w:top w:val="nil"/>
              <w:left w:val="nil"/>
              <w:bottom w:val="nil"/>
              <w:right w:val="nil"/>
            </w:tcBorders>
            <w:vAlign w:val="center"/>
            <w:hideMark/>
          </w:tcPr>
          <w:p w14:paraId="4C6B2DE7" w14:textId="77777777" w:rsidR="00C423DF" w:rsidRDefault="00C423DF">
            <w:pPr>
              <w:jc w:val="right"/>
              <w:rPr>
                <w:rFonts w:ascii="Arial" w:hAnsi="Arial" w:cs="Arial"/>
                <w:color w:val="000000"/>
                <w:sz w:val="22"/>
                <w:szCs w:val="22"/>
              </w:rPr>
            </w:pPr>
            <w:r>
              <w:rPr>
                <w:rFonts w:ascii="Arial" w:hAnsi="Arial" w:cs="Arial"/>
                <w:color w:val="000000"/>
                <w:sz w:val="22"/>
                <w:szCs w:val="22"/>
              </w:rPr>
              <w:t>3.4</w:t>
            </w:r>
          </w:p>
        </w:tc>
        <w:tc>
          <w:tcPr>
            <w:tcW w:w="287" w:type="pct"/>
            <w:tcBorders>
              <w:top w:val="nil"/>
              <w:left w:val="nil"/>
              <w:bottom w:val="nil"/>
              <w:right w:val="nil"/>
            </w:tcBorders>
            <w:vAlign w:val="center"/>
            <w:hideMark/>
          </w:tcPr>
          <w:p w14:paraId="46CCE284" w14:textId="77777777" w:rsidR="00C423DF" w:rsidRDefault="00C423DF">
            <w:pPr>
              <w:jc w:val="right"/>
              <w:rPr>
                <w:rFonts w:ascii="Arial" w:hAnsi="Arial" w:cs="Arial"/>
                <w:color w:val="000000"/>
                <w:sz w:val="22"/>
                <w:szCs w:val="22"/>
              </w:rPr>
            </w:pPr>
            <w:r>
              <w:rPr>
                <w:rFonts w:ascii="Arial" w:hAnsi="Arial" w:cs="Arial"/>
                <w:color w:val="000000"/>
                <w:sz w:val="22"/>
                <w:szCs w:val="22"/>
              </w:rPr>
              <w:t>0.13</w:t>
            </w:r>
          </w:p>
        </w:tc>
        <w:tc>
          <w:tcPr>
            <w:tcW w:w="586" w:type="pct"/>
            <w:tcBorders>
              <w:top w:val="nil"/>
              <w:left w:val="nil"/>
              <w:bottom w:val="nil"/>
              <w:right w:val="nil"/>
            </w:tcBorders>
            <w:vAlign w:val="center"/>
            <w:hideMark/>
          </w:tcPr>
          <w:p w14:paraId="3D1AB580" w14:textId="77777777" w:rsidR="00C423DF" w:rsidRDefault="00C423DF">
            <w:pPr>
              <w:rPr>
                <w:rFonts w:ascii="Arial" w:hAnsi="Arial" w:cs="Arial"/>
                <w:color w:val="000000"/>
                <w:sz w:val="22"/>
                <w:szCs w:val="22"/>
              </w:rPr>
            </w:pPr>
            <w:r>
              <w:rPr>
                <w:rFonts w:ascii="Arial" w:hAnsi="Arial" w:cs="Arial"/>
                <w:color w:val="000000"/>
                <w:sz w:val="22"/>
                <w:szCs w:val="22"/>
              </w:rPr>
              <w:t>No</w:t>
            </w:r>
          </w:p>
        </w:tc>
      </w:tr>
      <w:tr w:rsidR="00C423DF" w14:paraId="386B0739" w14:textId="77777777" w:rsidTr="00C423DF">
        <w:trPr>
          <w:trHeight w:val="570"/>
        </w:trPr>
        <w:tc>
          <w:tcPr>
            <w:tcW w:w="672" w:type="pct"/>
            <w:tcBorders>
              <w:top w:val="nil"/>
              <w:left w:val="nil"/>
              <w:bottom w:val="single" w:sz="4" w:space="0" w:color="auto"/>
              <w:right w:val="nil"/>
            </w:tcBorders>
            <w:vAlign w:val="center"/>
            <w:hideMark/>
          </w:tcPr>
          <w:p w14:paraId="70D11F71" w14:textId="77777777" w:rsidR="00C423DF" w:rsidRDefault="00C423DF">
            <w:pPr>
              <w:rPr>
                <w:rFonts w:ascii="Arial" w:hAnsi="Arial" w:cs="Arial"/>
                <w:color w:val="000000"/>
                <w:sz w:val="22"/>
                <w:szCs w:val="22"/>
              </w:rPr>
            </w:pPr>
            <w:r>
              <w:rPr>
                <w:rFonts w:ascii="Arial" w:hAnsi="Arial" w:cs="Arial"/>
                <w:color w:val="000000"/>
                <w:sz w:val="22"/>
                <w:szCs w:val="22"/>
              </w:rPr>
              <w:t>Regeneration</w:t>
            </w:r>
          </w:p>
        </w:tc>
        <w:tc>
          <w:tcPr>
            <w:tcW w:w="330" w:type="pct"/>
            <w:tcBorders>
              <w:top w:val="nil"/>
              <w:left w:val="nil"/>
              <w:bottom w:val="single" w:sz="4" w:space="0" w:color="auto"/>
              <w:right w:val="nil"/>
            </w:tcBorders>
            <w:vAlign w:val="center"/>
            <w:hideMark/>
          </w:tcPr>
          <w:p w14:paraId="21B02D89" w14:textId="77777777" w:rsidR="00C423DF" w:rsidRDefault="00C423DF">
            <w:pPr>
              <w:jc w:val="right"/>
              <w:rPr>
                <w:rFonts w:ascii="Arial" w:hAnsi="Arial" w:cs="Arial"/>
                <w:color w:val="000000"/>
                <w:sz w:val="22"/>
                <w:szCs w:val="22"/>
              </w:rPr>
            </w:pPr>
            <w:r>
              <w:rPr>
                <w:rFonts w:ascii="Arial" w:hAnsi="Arial" w:cs="Arial"/>
                <w:color w:val="000000"/>
                <w:sz w:val="22"/>
                <w:szCs w:val="22"/>
              </w:rPr>
              <w:t>205</w:t>
            </w:r>
          </w:p>
        </w:tc>
        <w:tc>
          <w:tcPr>
            <w:tcW w:w="430" w:type="pct"/>
            <w:tcBorders>
              <w:top w:val="nil"/>
              <w:left w:val="nil"/>
              <w:bottom w:val="single" w:sz="4" w:space="0" w:color="auto"/>
              <w:right w:val="nil"/>
            </w:tcBorders>
            <w:vAlign w:val="center"/>
            <w:hideMark/>
          </w:tcPr>
          <w:p w14:paraId="7ECFA16E" w14:textId="77777777" w:rsidR="00C423DF" w:rsidRDefault="00C423DF">
            <w:pPr>
              <w:jc w:val="right"/>
              <w:rPr>
                <w:rFonts w:ascii="Arial" w:hAnsi="Arial" w:cs="Arial"/>
                <w:color w:val="000000"/>
                <w:sz w:val="22"/>
                <w:szCs w:val="22"/>
              </w:rPr>
            </w:pPr>
            <w:r>
              <w:rPr>
                <w:rFonts w:ascii="Arial" w:hAnsi="Arial" w:cs="Arial"/>
                <w:color w:val="000000"/>
                <w:sz w:val="22"/>
                <w:szCs w:val="22"/>
              </w:rPr>
              <w:t>109</w:t>
            </w:r>
          </w:p>
        </w:tc>
        <w:tc>
          <w:tcPr>
            <w:tcW w:w="889" w:type="pct"/>
            <w:tcBorders>
              <w:top w:val="nil"/>
              <w:left w:val="nil"/>
              <w:bottom w:val="single" w:sz="4" w:space="0" w:color="auto"/>
              <w:right w:val="nil"/>
            </w:tcBorders>
            <w:vAlign w:val="center"/>
            <w:hideMark/>
          </w:tcPr>
          <w:p w14:paraId="7E70EFCB" w14:textId="77777777" w:rsidR="00C423DF" w:rsidRDefault="00C423DF">
            <w:pPr>
              <w:rPr>
                <w:rFonts w:ascii="Arial" w:hAnsi="Arial" w:cs="Arial"/>
                <w:color w:val="000000"/>
                <w:sz w:val="22"/>
                <w:szCs w:val="22"/>
              </w:rPr>
            </w:pPr>
            <w:r>
              <w:rPr>
                <w:rFonts w:ascii="Arial" w:hAnsi="Arial" w:cs="Arial"/>
                <w:color w:val="000000"/>
                <w:sz w:val="22"/>
                <w:szCs w:val="22"/>
              </w:rPr>
              <w:t xml:space="preserve">aspect; </w:t>
            </w:r>
            <w:proofErr w:type="spellStart"/>
            <w:r>
              <w:rPr>
                <w:rFonts w:ascii="Arial" w:hAnsi="Arial" w:cs="Arial"/>
                <w:color w:val="000000"/>
                <w:sz w:val="22"/>
                <w:szCs w:val="22"/>
              </w:rPr>
              <w:t>eto</w:t>
            </w:r>
            <w:proofErr w:type="spellEnd"/>
            <w:r>
              <w:rPr>
                <w:rFonts w:ascii="Arial" w:hAnsi="Arial" w:cs="Arial"/>
                <w:color w:val="000000"/>
                <w:sz w:val="22"/>
                <w:szCs w:val="22"/>
              </w:rPr>
              <w:t xml:space="preserve">; </w:t>
            </w:r>
            <w:proofErr w:type="spellStart"/>
            <w:r>
              <w:rPr>
                <w:rFonts w:ascii="Arial" w:hAnsi="Arial" w:cs="Arial"/>
                <w:color w:val="000000"/>
                <w:sz w:val="22"/>
                <w:szCs w:val="22"/>
              </w:rPr>
              <w:t>lat</w:t>
            </w:r>
            <w:proofErr w:type="spellEnd"/>
            <w:r>
              <w:rPr>
                <w:rFonts w:ascii="Arial" w:hAnsi="Arial" w:cs="Arial"/>
                <w:color w:val="000000"/>
                <w:sz w:val="22"/>
                <w:szCs w:val="22"/>
              </w:rPr>
              <w:t>; long; slope</w:t>
            </w:r>
          </w:p>
        </w:tc>
        <w:tc>
          <w:tcPr>
            <w:tcW w:w="665" w:type="pct"/>
            <w:tcBorders>
              <w:top w:val="nil"/>
              <w:left w:val="nil"/>
              <w:bottom w:val="single" w:sz="4" w:space="0" w:color="auto"/>
              <w:right w:val="nil"/>
            </w:tcBorders>
            <w:vAlign w:val="center"/>
            <w:hideMark/>
          </w:tcPr>
          <w:p w14:paraId="4DAC423F" w14:textId="77777777" w:rsidR="00C423DF" w:rsidRDefault="00C423DF">
            <w:pPr>
              <w:jc w:val="right"/>
              <w:rPr>
                <w:rFonts w:ascii="Arial" w:hAnsi="Arial" w:cs="Arial"/>
                <w:color w:val="000000"/>
                <w:sz w:val="22"/>
                <w:szCs w:val="22"/>
              </w:rPr>
            </w:pPr>
            <w:r>
              <w:rPr>
                <w:rFonts w:ascii="Arial" w:hAnsi="Arial" w:cs="Arial"/>
                <w:color w:val="000000"/>
                <w:sz w:val="22"/>
                <w:szCs w:val="22"/>
              </w:rPr>
              <w:t>58.906</w:t>
            </w:r>
          </w:p>
        </w:tc>
        <w:tc>
          <w:tcPr>
            <w:tcW w:w="685" w:type="pct"/>
            <w:tcBorders>
              <w:top w:val="nil"/>
              <w:left w:val="nil"/>
              <w:bottom w:val="single" w:sz="4" w:space="0" w:color="auto"/>
              <w:right w:val="nil"/>
            </w:tcBorders>
            <w:vAlign w:val="center"/>
            <w:hideMark/>
          </w:tcPr>
          <w:p w14:paraId="64763C55" w14:textId="77777777" w:rsidR="00C423DF" w:rsidRDefault="00C423DF">
            <w:pPr>
              <w:jc w:val="right"/>
              <w:rPr>
                <w:rFonts w:ascii="Arial" w:hAnsi="Arial" w:cs="Arial"/>
                <w:color w:val="000000"/>
                <w:sz w:val="22"/>
                <w:szCs w:val="22"/>
              </w:rPr>
            </w:pPr>
            <w:r>
              <w:rPr>
                <w:rFonts w:ascii="Arial" w:hAnsi="Arial" w:cs="Arial"/>
                <w:color w:val="000000"/>
                <w:sz w:val="22"/>
                <w:szCs w:val="22"/>
              </w:rPr>
              <w:t>1.987</w:t>
            </w:r>
          </w:p>
        </w:tc>
        <w:tc>
          <w:tcPr>
            <w:tcW w:w="455" w:type="pct"/>
            <w:tcBorders>
              <w:top w:val="nil"/>
              <w:left w:val="nil"/>
              <w:bottom w:val="single" w:sz="4" w:space="0" w:color="auto"/>
              <w:right w:val="nil"/>
            </w:tcBorders>
            <w:vAlign w:val="center"/>
            <w:hideMark/>
          </w:tcPr>
          <w:p w14:paraId="26F573BA" w14:textId="77777777" w:rsidR="00C423DF" w:rsidRDefault="00C423DF">
            <w:pPr>
              <w:jc w:val="right"/>
              <w:rPr>
                <w:rFonts w:ascii="Arial" w:hAnsi="Arial" w:cs="Arial"/>
                <w:color w:val="000000"/>
                <w:sz w:val="22"/>
                <w:szCs w:val="22"/>
              </w:rPr>
            </w:pPr>
            <w:r>
              <w:rPr>
                <w:rFonts w:ascii="Arial" w:hAnsi="Arial" w:cs="Arial"/>
                <w:color w:val="000000"/>
                <w:sz w:val="22"/>
                <w:szCs w:val="22"/>
              </w:rPr>
              <w:t>3.4</w:t>
            </w:r>
          </w:p>
        </w:tc>
        <w:tc>
          <w:tcPr>
            <w:tcW w:w="287" w:type="pct"/>
            <w:tcBorders>
              <w:top w:val="nil"/>
              <w:left w:val="nil"/>
              <w:bottom w:val="single" w:sz="4" w:space="0" w:color="auto"/>
              <w:right w:val="nil"/>
            </w:tcBorders>
            <w:vAlign w:val="center"/>
            <w:hideMark/>
          </w:tcPr>
          <w:p w14:paraId="31658129" w14:textId="77777777" w:rsidR="00C423DF" w:rsidRDefault="00C423DF">
            <w:pPr>
              <w:jc w:val="right"/>
              <w:rPr>
                <w:rFonts w:ascii="Arial" w:hAnsi="Arial" w:cs="Arial"/>
                <w:color w:val="000000"/>
                <w:sz w:val="22"/>
                <w:szCs w:val="22"/>
              </w:rPr>
            </w:pPr>
            <w:r>
              <w:rPr>
                <w:rFonts w:ascii="Arial" w:hAnsi="Arial" w:cs="Arial"/>
                <w:color w:val="000000"/>
                <w:sz w:val="22"/>
                <w:szCs w:val="22"/>
              </w:rPr>
              <w:t>0.08</w:t>
            </w:r>
          </w:p>
        </w:tc>
        <w:tc>
          <w:tcPr>
            <w:tcW w:w="586" w:type="pct"/>
            <w:tcBorders>
              <w:top w:val="nil"/>
              <w:left w:val="nil"/>
              <w:bottom w:val="single" w:sz="4" w:space="0" w:color="auto"/>
              <w:right w:val="nil"/>
            </w:tcBorders>
            <w:vAlign w:val="center"/>
            <w:hideMark/>
          </w:tcPr>
          <w:p w14:paraId="1E18CC87" w14:textId="77777777" w:rsidR="00C423DF" w:rsidRDefault="00C423DF">
            <w:pPr>
              <w:rPr>
                <w:rFonts w:ascii="Arial" w:hAnsi="Arial" w:cs="Arial"/>
                <w:color w:val="000000"/>
                <w:sz w:val="22"/>
                <w:szCs w:val="22"/>
              </w:rPr>
            </w:pPr>
            <w:r>
              <w:rPr>
                <w:rFonts w:ascii="Arial" w:hAnsi="Arial" w:cs="Arial"/>
                <w:color w:val="000000"/>
                <w:sz w:val="22"/>
                <w:szCs w:val="22"/>
              </w:rPr>
              <w:t>No</w:t>
            </w:r>
          </w:p>
        </w:tc>
      </w:tr>
    </w:tbl>
    <w:p w14:paraId="51E7F977" w14:textId="77777777" w:rsidR="0059748F" w:rsidRDefault="0059748F" w:rsidP="009166AB">
      <w:pPr>
        <w:jc w:val="both"/>
        <w:rPr>
          <w:rFonts w:ascii="Arial" w:hAnsi="Arial" w:cs="Arial"/>
        </w:rPr>
      </w:pPr>
    </w:p>
    <w:p w14:paraId="5E647E1E" w14:textId="77777777" w:rsidR="0059748F" w:rsidRPr="0059748F" w:rsidRDefault="0059748F" w:rsidP="0059748F">
      <w:pPr>
        <w:pStyle w:val="Heading3"/>
      </w:pPr>
      <w:r w:rsidRPr="0059748F">
        <w:t>Table 4.</w:t>
      </w:r>
    </w:p>
    <w:p w14:paraId="50472CC0" w14:textId="77777777" w:rsidR="0059748F" w:rsidRDefault="0059748F" w:rsidP="0059748F">
      <w:pPr>
        <w:jc w:val="both"/>
        <w:rPr>
          <w:rFonts w:ascii="Arial" w:hAnsi="Arial" w:cs="Arial"/>
        </w:rPr>
      </w:pPr>
      <w:r w:rsidRPr="0059748F">
        <w:rPr>
          <w:rFonts w:ascii="Arial" w:hAnsi="Arial" w:cs="Arial"/>
        </w:rPr>
        <w:t>Mean alpha-diversity metrics by vegetation stratum. Values are mean ± standard deviation.</w:t>
      </w:r>
    </w:p>
    <w:tbl>
      <w:tblPr>
        <w:tblW w:w="10076" w:type="dxa"/>
        <w:tblLook w:val="04A0" w:firstRow="1" w:lastRow="0" w:firstColumn="1" w:lastColumn="0" w:noHBand="0" w:noVBand="1"/>
      </w:tblPr>
      <w:tblGrid>
        <w:gridCol w:w="1700"/>
        <w:gridCol w:w="1581"/>
        <w:gridCol w:w="1602"/>
        <w:gridCol w:w="1745"/>
        <w:gridCol w:w="1843"/>
        <w:gridCol w:w="1605"/>
      </w:tblGrid>
      <w:tr w:rsidR="0059748F" w:rsidRPr="0059748F" w14:paraId="03372D55" w14:textId="77777777" w:rsidTr="0059748F">
        <w:trPr>
          <w:trHeight w:val="227"/>
        </w:trPr>
        <w:tc>
          <w:tcPr>
            <w:tcW w:w="1700" w:type="dxa"/>
            <w:tcBorders>
              <w:top w:val="single" w:sz="4" w:space="0" w:color="auto"/>
              <w:left w:val="nil"/>
              <w:bottom w:val="single" w:sz="4" w:space="0" w:color="auto"/>
              <w:right w:val="nil"/>
            </w:tcBorders>
            <w:vAlign w:val="center"/>
            <w:hideMark/>
          </w:tcPr>
          <w:p w14:paraId="06D06252"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Stratum</w:t>
            </w:r>
          </w:p>
        </w:tc>
        <w:tc>
          <w:tcPr>
            <w:tcW w:w="1581" w:type="dxa"/>
            <w:tcBorders>
              <w:top w:val="single" w:sz="4" w:space="0" w:color="auto"/>
              <w:left w:val="nil"/>
              <w:bottom w:val="single" w:sz="4" w:space="0" w:color="auto"/>
              <w:right w:val="nil"/>
            </w:tcBorders>
            <w:vAlign w:val="center"/>
            <w:hideMark/>
          </w:tcPr>
          <w:p w14:paraId="03589060"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Plots</w:t>
            </w:r>
          </w:p>
        </w:tc>
        <w:tc>
          <w:tcPr>
            <w:tcW w:w="1602" w:type="dxa"/>
            <w:tcBorders>
              <w:top w:val="single" w:sz="4" w:space="0" w:color="auto"/>
              <w:left w:val="nil"/>
              <w:bottom w:val="single" w:sz="4" w:space="0" w:color="auto"/>
              <w:right w:val="nil"/>
            </w:tcBorders>
            <w:vAlign w:val="center"/>
            <w:hideMark/>
          </w:tcPr>
          <w:p w14:paraId="77A76945"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Richness</w:t>
            </w:r>
          </w:p>
        </w:tc>
        <w:tc>
          <w:tcPr>
            <w:tcW w:w="1745" w:type="dxa"/>
            <w:tcBorders>
              <w:top w:val="single" w:sz="4" w:space="0" w:color="auto"/>
              <w:left w:val="nil"/>
              <w:bottom w:val="single" w:sz="4" w:space="0" w:color="auto"/>
              <w:right w:val="nil"/>
            </w:tcBorders>
            <w:vAlign w:val="center"/>
            <w:hideMark/>
          </w:tcPr>
          <w:p w14:paraId="6C7E7752"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Shannon (H′)</w:t>
            </w:r>
          </w:p>
        </w:tc>
        <w:tc>
          <w:tcPr>
            <w:tcW w:w="1843" w:type="dxa"/>
            <w:tcBorders>
              <w:top w:val="single" w:sz="4" w:space="0" w:color="auto"/>
              <w:left w:val="nil"/>
              <w:bottom w:val="single" w:sz="4" w:space="0" w:color="auto"/>
              <w:right w:val="nil"/>
            </w:tcBorders>
            <w:vAlign w:val="center"/>
            <w:hideMark/>
          </w:tcPr>
          <w:p w14:paraId="4AB47D59"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Simpson (1–D)</w:t>
            </w:r>
          </w:p>
        </w:tc>
        <w:tc>
          <w:tcPr>
            <w:tcW w:w="1605" w:type="dxa"/>
            <w:tcBorders>
              <w:top w:val="single" w:sz="4" w:space="0" w:color="auto"/>
              <w:left w:val="nil"/>
              <w:bottom w:val="single" w:sz="4" w:space="0" w:color="auto"/>
              <w:right w:val="nil"/>
            </w:tcBorders>
            <w:vAlign w:val="center"/>
            <w:hideMark/>
          </w:tcPr>
          <w:p w14:paraId="0939A337" w14:textId="77777777" w:rsidR="0059748F" w:rsidRPr="0059748F" w:rsidRDefault="0059748F">
            <w:pPr>
              <w:jc w:val="center"/>
              <w:rPr>
                <w:rFonts w:ascii="Arial" w:hAnsi="Arial" w:cs="Arial"/>
                <w:b/>
                <w:bCs/>
                <w:color w:val="000000"/>
                <w:sz w:val="22"/>
                <w:szCs w:val="22"/>
              </w:rPr>
            </w:pPr>
            <w:r w:rsidRPr="0059748F">
              <w:rPr>
                <w:rFonts w:ascii="Arial" w:hAnsi="Arial" w:cs="Arial"/>
                <w:b/>
                <w:bCs/>
                <w:color w:val="000000"/>
                <w:sz w:val="22"/>
                <w:szCs w:val="22"/>
              </w:rPr>
              <w:t>Evenness (J)</w:t>
            </w:r>
          </w:p>
        </w:tc>
      </w:tr>
      <w:tr w:rsidR="0059748F" w:rsidRPr="0059748F" w14:paraId="22F09FA8" w14:textId="77777777" w:rsidTr="0059748F">
        <w:trPr>
          <w:trHeight w:val="227"/>
        </w:trPr>
        <w:tc>
          <w:tcPr>
            <w:tcW w:w="1700" w:type="dxa"/>
            <w:tcBorders>
              <w:top w:val="nil"/>
              <w:left w:val="nil"/>
              <w:bottom w:val="nil"/>
              <w:right w:val="nil"/>
            </w:tcBorders>
            <w:vAlign w:val="center"/>
            <w:hideMark/>
          </w:tcPr>
          <w:p w14:paraId="76D2B9C4"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Trees</w:t>
            </w:r>
          </w:p>
        </w:tc>
        <w:tc>
          <w:tcPr>
            <w:tcW w:w="1581" w:type="dxa"/>
            <w:tcBorders>
              <w:top w:val="nil"/>
              <w:left w:val="nil"/>
              <w:bottom w:val="nil"/>
              <w:right w:val="nil"/>
            </w:tcBorders>
            <w:vAlign w:val="center"/>
            <w:hideMark/>
          </w:tcPr>
          <w:p w14:paraId="0D2D94A3"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221</w:t>
            </w:r>
          </w:p>
        </w:tc>
        <w:tc>
          <w:tcPr>
            <w:tcW w:w="1602" w:type="dxa"/>
            <w:tcBorders>
              <w:top w:val="nil"/>
              <w:left w:val="nil"/>
              <w:bottom w:val="nil"/>
              <w:right w:val="nil"/>
            </w:tcBorders>
            <w:vAlign w:val="center"/>
            <w:hideMark/>
          </w:tcPr>
          <w:p w14:paraId="28ABE225"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5.30 ± 2.57</w:t>
            </w:r>
          </w:p>
        </w:tc>
        <w:tc>
          <w:tcPr>
            <w:tcW w:w="1745" w:type="dxa"/>
            <w:tcBorders>
              <w:top w:val="nil"/>
              <w:left w:val="nil"/>
              <w:bottom w:val="nil"/>
              <w:right w:val="nil"/>
            </w:tcBorders>
            <w:vAlign w:val="center"/>
            <w:hideMark/>
          </w:tcPr>
          <w:p w14:paraId="650F705E"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1.391 ± 0.595</w:t>
            </w:r>
          </w:p>
        </w:tc>
        <w:tc>
          <w:tcPr>
            <w:tcW w:w="1843" w:type="dxa"/>
            <w:tcBorders>
              <w:top w:val="nil"/>
              <w:left w:val="nil"/>
              <w:bottom w:val="nil"/>
              <w:right w:val="nil"/>
            </w:tcBorders>
            <w:vAlign w:val="center"/>
            <w:hideMark/>
          </w:tcPr>
          <w:p w14:paraId="1C56B891"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0.665</w:t>
            </w:r>
          </w:p>
        </w:tc>
        <w:tc>
          <w:tcPr>
            <w:tcW w:w="1605" w:type="dxa"/>
            <w:tcBorders>
              <w:top w:val="nil"/>
              <w:left w:val="nil"/>
              <w:bottom w:val="nil"/>
              <w:right w:val="nil"/>
            </w:tcBorders>
            <w:vAlign w:val="center"/>
            <w:hideMark/>
          </w:tcPr>
          <w:p w14:paraId="45F3542A"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0.903</w:t>
            </w:r>
          </w:p>
        </w:tc>
      </w:tr>
      <w:tr w:rsidR="0059748F" w:rsidRPr="0059748F" w14:paraId="05EC110A" w14:textId="77777777" w:rsidTr="0059748F">
        <w:trPr>
          <w:trHeight w:val="227"/>
        </w:trPr>
        <w:tc>
          <w:tcPr>
            <w:tcW w:w="1700" w:type="dxa"/>
            <w:tcBorders>
              <w:top w:val="nil"/>
              <w:left w:val="nil"/>
              <w:bottom w:val="nil"/>
              <w:right w:val="nil"/>
            </w:tcBorders>
            <w:vAlign w:val="center"/>
            <w:hideMark/>
          </w:tcPr>
          <w:p w14:paraId="0429C60E"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Shrubs</w:t>
            </w:r>
          </w:p>
        </w:tc>
        <w:tc>
          <w:tcPr>
            <w:tcW w:w="1581" w:type="dxa"/>
            <w:tcBorders>
              <w:top w:val="nil"/>
              <w:left w:val="nil"/>
              <w:bottom w:val="nil"/>
              <w:right w:val="nil"/>
            </w:tcBorders>
            <w:vAlign w:val="center"/>
            <w:hideMark/>
          </w:tcPr>
          <w:p w14:paraId="519FA847"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198</w:t>
            </w:r>
          </w:p>
        </w:tc>
        <w:tc>
          <w:tcPr>
            <w:tcW w:w="1602" w:type="dxa"/>
            <w:tcBorders>
              <w:top w:val="nil"/>
              <w:left w:val="nil"/>
              <w:bottom w:val="nil"/>
              <w:right w:val="nil"/>
            </w:tcBorders>
            <w:vAlign w:val="center"/>
            <w:hideMark/>
          </w:tcPr>
          <w:p w14:paraId="75079789"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4.77 ± 3.43</w:t>
            </w:r>
          </w:p>
        </w:tc>
        <w:tc>
          <w:tcPr>
            <w:tcW w:w="1745" w:type="dxa"/>
            <w:tcBorders>
              <w:top w:val="nil"/>
              <w:left w:val="nil"/>
              <w:bottom w:val="nil"/>
              <w:right w:val="nil"/>
            </w:tcBorders>
            <w:vAlign w:val="center"/>
            <w:hideMark/>
          </w:tcPr>
          <w:p w14:paraId="3F4D6A9D"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1.063 ± 0.706</w:t>
            </w:r>
          </w:p>
        </w:tc>
        <w:tc>
          <w:tcPr>
            <w:tcW w:w="1843" w:type="dxa"/>
            <w:tcBorders>
              <w:top w:val="nil"/>
              <w:left w:val="nil"/>
              <w:bottom w:val="nil"/>
              <w:right w:val="nil"/>
            </w:tcBorders>
            <w:vAlign w:val="center"/>
            <w:hideMark/>
          </w:tcPr>
          <w:p w14:paraId="17FFEF04"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0.524</w:t>
            </w:r>
          </w:p>
        </w:tc>
        <w:tc>
          <w:tcPr>
            <w:tcW w:w="1605" w:type="dxa"/>
            <w:tcBorders>
              <w:top w:val="nil"/>
              <w:left w:val="nil"/>
              <w:bottom w:val="nil"/>
              <w:right w:val="nil"/>
            </w:tcBorders>
            <w:vAlign w:val="center"/>
            <w:hideMark/>
          </w:tcPr>
          <w:p w14:paraId="50812818"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0.832</w:t>
            </w:r>
          </w:p>
        </w:tc>
      </w:tr>
      <w:tr w:rsidR="0059748F" w:rsidRPr="0059748F" w14:paraId="4D7C8111" w14:textId="77777777" w:rsidTr="0059748F">
        <w:trPr>
          <w:trHeight w:val="227"/>
        </w:trPr>
        <w:tc>
          <w:tcPr>
            <w:tcW w:w="1700" w:type="dxa"/>
            <w:tcBorders>
              <w:top w:val="nil"/>
              <w:left w:val="nil"/>
              <w:bottom w:val="nil"/>
              <w:right w:val="nil"/>
            </w:tcBorders>
            <w:vAlign w:val="center"/>
            <w:hideMark/>
          </w:tcPr>
          <w:p w14:paraId="4C566AD3"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Regeneration</w:t>
            </w:r>
          </w:p>
        </w:tc>
        <w:tc>
          <w:tcPr>
            <w:tcW w:w="1581" w:type="dxa"/>
            <w:tcBorders>
              <w:top w:val="nil"/>
              <w:left w:val="nil"/>
              <w:bottom w:val="nil"/>
              <w:right w:val="nil"/>
            </w:tcBorders>
            <w:vAlign w:val="center"/>
            <w:hideMark/>
          </w:tcPr>
          <w:p w14:paraId="2A4CF15A"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209</w:t>
            </w:r>
          </w:p>
        </w:tc>
        <w:tc>
          <w:tcPr>
            <w:tcW w:w="1602" w:type="dxa"/>
            <w:tcBorders>
              <w:top w:val="nil"/>
              <w:left w:val="nil"/>
              <w:bottom w:val="nil"/>
              <w:right w:val="nil"/>
            </w:tcBorders>
            <w:vAlign w:val="center"/>
            <w:hideMark/>
          </w:tcPr>
          <w:p w14:paraId="64D3D539"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2.00 ± 1.26</w:t>
            </w:r>
          </w:p>
        </w:tc>
        <w:tc>
          <w:tcPr>
            <w:tcW w:w="1745" w:type="dxa"/>
            <w:tcBorders>
              <w:top w:val="nil"/>
              <w:left w:val="nil"/>
              <w:bottom w:val="nil"/>
              <w:right w:val="nil"/>
            </w:tcBorders>
            <w:vAlign w:val="center"/>
            <w:hideMark/>
          </w:tcPr>
          <w:p w14:paraId="2DA7C925"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0.443 ± 0.499</w:t>
            </w:r>
          </w:p>
        </w:tc>
        <w:tc>
          <w:tcPr>
            <w:tcW w:w="1843" w:type="dxa"/>
            <w:tcBorders>
              <w:top w:val="nil"/>
              <w:left w:val="nil"/>
              <w:bottom w:val="nil"/>
              <w:right w:val="nil"/>
            </w:tcBorders>
            <w:vAlign w:val="center"/>
            <w:hideMark/>
          </w:tcPr>
          <w:p w14:paraId="18DC5754"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0.264</w:t>
            </w:r>
          </w:p>
        </w:tc>
        <w:tc>
          <w:tcPr>
            <w:tcW w:w="1605" w:type="dxa"/>
            <w:tcBorders>
              <w:top w:val="nil"/>
              <w:left w:val="nil"/>
              <w:bottom w:val="nil"/>
              <w:right w:val="nil"/>
            </w:tcBorders>
            <w:vAlign w:val="center"/>
            <w:hideMark/>
          </w:tcPr>
          <w:p w14:paraId="580EDE8C"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0.839</w:t>
            </w:r>
          </w:p>
        </w:tc>
      </w:tr>
      <w:tr w:rsidR="0059748F" w:rsidRPr="0059748F" w14:paraId="0FB7E58E" w14:textId="77777777" w:rsidTr="0059748F">
        <w:trPr>
          <w:trHeight w:val="227"/>
        </w:trPr>
        <w:tc>
          <w:tcPr>
            <w:tcW w:w="1700" w:type="dxa"/>
            <w:tcBorders>
              <w:top w:val="nil"/>
              <w:left w:val="nil"/>
              <w:bottom w:val="single" w:sz="4" w:space="0" w:color="auto"/>
              <w:right w:val="nil"/>
            </w:tcBorders>
            <w:vAlign w:val="center"/>
            <w:hideMark/>
          </w:tcPr>
          <w:p w14:paraId="3C704BB5"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Herbs</w:t>
            </w:r>
          </w:p>
        </w:tc>
        <w:tc>
          <w:tcPr>
            <w:tcW w:w="1581" w:type="dxa"/>
            <w:tcBorders>
              <w:top w:val="nil"/>
              <w:left w:val="nil"/>
              <w:bottom w:val="single" w:sz="4" w:space="0" w:color="auto"/>
              <w:right w:val="nil"/>
            </w:tcBorders>
            <w:vAlign w:val="center"/>
            <w:hideMark/>
          </w:tcPr>
          <w:p w14:paraId="3B153320"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210</w:t>
            </w:r>
          </w:p>
        </w:tc>
        <w:tc>
          <w:tcPr>
            <w:tcW w:w="1602" w:type="dxa"/>
            <w:tcBorders>
              <w:top w:val="nil"/>
              <w:left w:val="nil"/>
              <w:bottom w:val="single" w:sz="4" w:space="0" w:color="auto"/>
              <w:right w:val="nil"/>
            </w:tcBorders>
            <w:vAlign w:val="center"/>
            <w:hideMark/>
          </w:tcPr>
          <w:p w14:paraId="37571A55"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1.79 ± 1.32</w:t>
            </w:r>
          </w:p>
        </w:tc>
        <w:tc>
          <w:tcPr>
            <w:tcW w:w="1745" w:type="dxa"/>
            <w:tcBorders>
              <w:top w:val="nil"/>
              <w:left w:val="nil"/>
              <w:bottom w:val="single" w:sz="4" w:space="0" w:color="auto"/>
              <w:right w:val="nil"/>
            </w:tcBorders>
            <w:vAlign w:val="center"/>
            <w:hideMark/>
          </w:tcPr>
          <w:p w14:paraId="239A0234" w14:textId="77777777" w:rsidR="0059748F" w:rsidRPr="0059748F" w:rsidRDefault="0059748F">
            <w:pPr>
              <w:rPr>
                <w:rFonts w:ascii="Arial" w:hAnsi="Arial" w:cs="Arial"/>
                <w:color w:val="000000"/>
                <w:sz w:val="22"/>
                <w:szCs w:val="22"/>
              </w:rPr>
            </w:pPr>
            <w:r w:rsidRPr="0059748F">
              <w:rPr>
                <w:rFonts w:ascii="Arial" w:hAnsi="Arial" w:cs="Arial"/>
                <w:color w:val="000000"/>
                <w:sz w:val="22"/>
                <w:szCs w:val="22"/>
              </w:rPr>
              <w:t>0.325 ± 0.451</w:t>
            </w:r>
          </w:p>
        </w:tc>
        <w:tc>
          <w:tcPr>
            <w:tcW w:w="1843" w:type="dxa"/>
            <w:tcBorders>
              <w:top w:val="nil"/>
              <w:left w:val="nil"/>
              <w:bottom w:val="single" w:sz="4" w:space="0" w:color="auto"/>
              <w:right w:val="nil"/>
            </w:tcBorders>
            <w:vAlign w:val="center"/>
            <w:hideMark/>
          </w:tcPr>
          <w:p w14:paraId="665337C4"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0.193</w:t>
            </w:r>
          </w:p>
        </w:tc>
        <w:tc>
          <w:tcPr>
            <w:tcW w:w="1605" w:type="dxa"/>
            <w:tcBorders>
              <w:top w:val="nil"/>
              <w:left w:val="nil"/>
              <w:bottom w:val="single" w:sz="4" w:space="0" w:color="auto"/>
              <w:right w:val="nil"/>
            </w:tcBorders>
            <w:vAlign w:val="center"/>
            <w:hideMark/>
          </w:tcPr>
          <w:p w14:paraId="218F40DB" w14:textId="77777777" w:rsidR="0059748F" w:rsidRPr="0059748F" w:rsidRDefault="0059748F">
            <w:pPr>
              <w:jc w:val="right"/>
              <w:rPr>
                <w:rFonts w:ascii="Arial" w:hAnsi="Arial" w:cs="Arial"/>
                <w:color w:val="000000"/>
                <w:sz w:val="22"/>
                <w:szCs w:val="22"/>
              </w:rPr>
            </w:pPr>
            <w:r w:rsidRPr="0059748F">
              <w:rPr>
                <w:rFonts w:ascii="Arial" w:hAnsi="Arial" w:cs="Arial"/>
                <w:color w:val="000000"/>
                <w:sz w:val="22"/>
                <w:szCs w:val="22"/>
              </w:rPr>
              <w:t>0.804</w:t>
            </w:r>
          </w:p>
        </w:tc>
      </w:tr>
    </w:tbl>
    <w:p w14:paraId="558C9226" w14:textId="352FE132" w:rsidR="0059748F" w:rsidRPr="0059748F" w:rsidRDefault="0059748F" w:rsidP="0059748F">
      <w:pPr>
        <w:jc w:val="both"/>
        <w:rPr>
          <w:rFonts w:ascii="Arial" w:hAnsi="Arial" w:cs="Arial"/>
        </w:rPr>
      </w:pPr>
    </w:p>
    <w:p w14:paraId="0CCF91D3" w14:textId="77777777" w:rsidR="0059748F" w:rsidRPr="0059748F" w:rsidRDefault="0059748F" w:rsidP="0059748F">
      <w:pPr>
        <w:pStyle w:val="Heading3"/>
      </w:pPr>
      <w:r w:rsidRPr="0059748F">
        <w:t>Table 5.</w:t>
      </w:r>
    </w:p>
    <w:p w14:paraId="121A1336" w14:textId="77777777" w:rsidR="0059748F" w:rsidRPr="0059748F" w:rsidRDefault="0059748F" w:rsidP="0059748F">
      <w:pPr>
        <w:jc w:val="both"/>
        <w:rPr>
          <w:rFonts w:ascii="Arial" w:hAnsi="Arial" w:cs="Arial"/>
        </w:rPr>
      </w:pPr>
      <w:r w:rsidRPr="0059748F">
        <w:rPr>
          <w:rFonts w:ascii="Arial" w:hAnsi="Arial" w:cs="Arial"/>
        </w:rPr>
        <w:t>Summary of indicator-species analysis by stratum. Groups were defined by elevational class (low, mid and high). Significance was assessed using 999 permutations at α = 0.05.</w:t>
      </w:r>
    </w:p>
    <w:tbl>
      <w:tblPr>
        <w:tblW w:w="10080" w:type="dxa"/>
        <w:tblLook w:val="04A0" w:firstRow="1" w:lastRow="0" w:firstColumn="1" w:lastColumn="0" w:noHBand="0" w:noVBand="1"/>
      </w:tblPr>
      <w:tblGrid>
        <w:gridCol w:w="1537"/>
        <w:gridCol w:w="1782"/>
        <w:gridCol w:w="865"/>
        <w:gridCol w:w="815"/>
        <w:gridCol w:w="1121"/>
        <w:gridCol w:w="2070"/>
        <w:gridCol w:w="1890"/>
      </w:tblGrid>
      <w:tr w:rsidR="0059748F" w14:paraId="4BE0DB98" w14:textId="77777777" w:rsidTr="00C552E1">
        <w:trPr>
          <w:trHeight w:val="210"/>
        </w:trPr>
        <w:tc>
          <w:tcPr>
            <w:tcW w:w="1537" w:type="dxa"/>
            <w:tcBorders>
              <w:top w:val="single" w:sz="4" w:space="0" w:color="auto"/>
              <w:left w:val="nil"/>
              <w:bottom w:val="single" w:sz="4" w:space="0" w:color="auto"/>
              <w:right w:val="nil"/>
            </w:tcBorders>
            <w:vAlign w:val="center"/>
            <w:hideMark/>
          </w:tcPr>
          <w:p w14:paraId="73785694"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Stratum</w:t>
            </w:r>
          </w:p>
        </w:tc>
        <w:tc>
          <w:tcPr>
            <w:tcW w:w="1782" w:type="dxa"/>
            <w:tcBorders>
              <w:top w:val="single" w:sz="4" w:space="0" w:color="auto"/>
              <w:left w:val="nil"/>
              <w:bottom w:val="single" w:sz="4" w:space="0" w:color="auto"/>
              <w:right w:val="nil"/>
            </w:tcBorders>
            <w:vAlign w:val="center"/>
            <w:hideMark/>
          </w:tcPr>
          <w:p w14:paraId="6A9E6D17"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Group variable</w:t>
            </w:r>
          </w:p>
        </w:tc>
        <w:tc>
          <w:tcPr>
            <w:tcW w:w="865" w:type="dxa"/>
            <w:tcBorders>
              <w:top w:val="single" w:sz="4" w:space="0" w:color="auto"/>
              <w:left w:val="nil"/>
              <w:bottom w:val="single" w:sz="4" w:space="0" w:color="auto"/>
              <w:right w:val="nil"/>
            </w:tcBorders>
            <w:vAlign w:val="center"/>
            <w:hideMark/>
          </w:tcPr>
          <w:p w14:paraId="5ACBF8F9"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Sites</w:t>
            </w:r>
          </w:p>
        </w:tc>
        <w:tc>
          <w:tcPr>
            <w:tcW w:w="815" w:type="dxa"/>
            <w:tcBorders>
              <w:top w:val="single" w:sz="4" w:space="0" w:color="auto"/>
              <w:left w:val="nil"/>
              <w:bottom w:val="single" w:sz="4" w:space="0" w:color="auto"/>
              <w:right w:val="nil"/>
            </w:tcBorders>
            <w:vAlign w:val="center"/>
            <w:hideMark/>
          </w:tcPr>
          <w:p w14:paraId="5E1B5EB1"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Spp.</w:t>
            </w:r>
          </w:p>
        </w:tc>
        <w:tc>
          <w:tcPr>
            <w:tcW w:w="1121" w:type="dxa"/>
            <w:tcBorders>
              <w:top w:val="single" w:sz="4" w:space="0" w:color="auto"/>
              <w:left w:val="nil"/>
              <w:bottom w:val="single" w:sz="4" w:space="0" w:color="auto"/>
              <w:right w:val="nil"/>
            </w:tcBorders>
            <w:vAlign w:val="center"/>
            <w:hideMark/>
          </w:tcPr>
          <w:p w14:paraId="5B0C9E44"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Groups</w:t>
            </w:r>
          </w:p>
        </w:tc>
        <w:tc>
          <w:tcPr>
            <w:tcW w:w="2070" w:type="dxa"/>
            <w:tcBorders>
              <w:top w:val="single" w:sz="4" w:space="0" w:color="auto"/>
              <w:left w:val="nil"/>
              <w:bottom w:val="single" w:sz="4" w:space="0" w:color="auto"/>
              <w:right w:val="nil"/>
            </w:tcBorders>
            <w:vAlign w:val="center"/>
            <w:hideMark/>
          </w:tcPr>
          <w:p w14:paraId="0E207B1C"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Sig. indicators</w:t>
            </w:r>
          </w:p>
        </w:tc>
        <w:tc>
          <w:tcPr>
            <w:tcW w:w="1890" w:type="dxa"/>
            <w:tcBorders>
              <w:top w:val="single" w:sz="4" w:space="0" w:color="auto"/>
              <w:left w:val="nil"/>
              <w:bottom w:val="single" w:sz="4" w:space="0" w:color="auto"/>
              <w:right w:val="nil"/>
            </w:tcBorders>
            <w:vAlign w:val="center"/>
            <w:hideMark/>
          </w:tcPr>
          <w:p w14:paraId="0F1FA3F0" w14:textId="77777777" w:rsidR="0059748F" w:rsidRDefault="0059748F">
            <w:pPr>
              <w:jc w:val="center"/>
              <w:rPr>
                <w:rFonts w:ascii="Arial" w:hAnsi="Arial" w:cs="Arial"/>
                <w:b/>
                <w:bCs/>
                <w:color w:val="000000"/>
                <w:sz w:val="22"/>
                <w:szCs w:val="22"/>
              </w:rPr>
            </w:pPr>
            <w:r>
              <w:rPr>
                <w:rFonts w:ascii="Arial" w:hAnsi="Arial" w:cs="Arial"/>
                <w:b/>
                <w:bCs/>
                <w:color w:val="000000"/>
                <w:sz w:val="22"/>
                <w:szCs w:val="22"/>
              </w:rPr>
              <w:t>% significant</w:t>
            </w:r>
          </w:p>
        </w:tc>
      </w:tr>
      <w:tr w:rsidR="0059748F" w14:paraId="2E747503" w14:textId="77777777" w:rsidTr="00C552E1">
        <w:trPr>
          <w:trHeight w:val="210"/>
        </w:trPr>
        <w:tc>
          <w:tcPr>
            <w:tcW w:w="1537" w:type="dxa"/>
            <w:tcBorders>
              <w:top w:val="nil"/>
              <w:left w:val="nil"/>
              <w:bottom w:val="nil"/>
              <w:right w:val="nil"/>
            </w:tcBorders>
            <w:vAlign w:val="center"/>
            <w:hideMark/>
          </w:tcPr>
          <w:p w14:paraId="0C5532E9" w14:textId="77777777" w:rsidR="0059748F" w:rsidRDefault="0059748F">
            <w:pPr>
              <w:rPr>
                <w:rFonts w:ascii="Arial" w:hAnsi="Arial" w:cs="Arial"/>
                <w:color w:val="000000"/>
                <w:sz w:val="22"/>
                <w:szCs w:val="22"/>
              </w:rPr>
            </w:pPr>
            <w:r>
              <w:rPr>
                <w:rFonts w:ascii="Arial" w:hAnsi="Arial" w:cs="Arial"/>
                <w:color w:val="000000"/>
                <w:sz w:val="22"/>
                <w:szCs w:val="22"/>
              </w:rPr>
              <w:t>Trees</w:t>
            </w:r>
          </w:p>
        </w:tc>
        <w:tc>
          <w:tcPr>
            <w:tcW w:w="1782" w:type="dxa"/>
            <w:tcBorders>
              <w:top w:val="nil"/>
              <w:left w:val="nil"/>
              <w:bottom w:val="nil"/>
              <w:right w:val="nil"/>
            </w:tcBorders>
            <w:vAlign w:val="center"/>
            <w:hideMark/>
          </w:tcPr>
          <w:p w14:paraId="3B8EBC35" w14:textId="77777777" w:rsidR="0059748F" w:rsidRDefault="0059748F">
            <w:pPr>
              <w:rPr>
                <w:rFonts w:ascii="Arial" w:hAnsi="Arial" w:cs="Arial"/>
                <w:color w:val="000000"/>
                <w:sz w:val="22"/>
                <w:szCs w:val="22"/>
              </w:rPr>
            </w:pPr>
            <w:proofErr w:type="spellStart"/>
            <w:r>
              <w:rPr>
                <w:rFonts w:ascii="Arial" w:hAnsi="Arial" w:cs="Arial"/>
                <w:color w:val="000000"/>
                <w:sz w:val="22"/>
                <w:szCs w:val="22"/>
              </w:rPr>
              <w:t>elevation_group</w:t>
            </w:r>
            <w:proofErr w:type="spellEnd"/>
          </w:p>
        </w:tc>
        <w:tc>
          <w:tcPr>
            <w:tcW w:w="865" w:type="dxa"/>
            <w:tcBorders>
              <w:top w:val="nil"/>
              <w:left w:val="nil"/>
              <w:bottom w:val="nil"/>
              <w:right w:val="nil"/>
            </w:tcBorders>
            <w:vAlign w:val="center"/>
            <w:hideMark/>
          </w:tcPr>
          <w:p w14:paraId="6DD7137E" w14:textId="77777777" w:rsidR="0059748F" w:rsidRDefault="0059748F">
            <w:pPr>
              <w:jc w:val="right"/>
              <w:rPr>
                <w:rFonts w:ascii="Arial" w:hAnsi="Arial" w:cs="Arial"/>
                <w:color w:val="000000"/>
                <w:sz w:val="22"/>
                <w:szCs w:val="22"/>
              </w:rPr>
            </w:pPr>
            <w:r>
              <w:rPr>
                <w:rFonts w:ascii="Arial" w:hAnsi="Arial" w:cs="Arial"/>
                <w:color w:val="000000"/>
                <w:sz w:val="22"/>
                <w:szCs w:val="22"/>
              </w:rPr>
              <w:t>216</w:t>
            </w:r>
          </w:p>
        </w:tc>
        <w:tc>
          <w:tcPr>
            <w:tcW w:w="815" w:type="dxa"/>
            <w:tcBorders>
              <w:top w:val="nil"/>
              <w:left w:val="nil"/>
              <w:bottom w:val="nil"/>
              <w:right w:val="nil"/>
            </w:tcBorders>
            <w:vAlign w:val="center"/>
            <w:hideMark/>
          </w:tcPr>
          <w:p w14:paraId="6F13CB98" w14:textId="77777777" w:rsidR="0059748F" w:rsidRDefault="0059748F">
            <w:pPr>
              <w:jc w:val="right"/>
              <w:rPr>
                <w:rFonts w:ascii="Arial" w:hAnsi="Arial" w:cs="Arial"/>
                <w:color w:val="000000"/>
                <w:sz w:val="22"/>
                <w:szCs w:val="22"/>
              </w:rPr>
            </w:pPr>
            <w:r>
              <w:rPr>
                <w:rFonts w:ascii="Arial" w:hAnsi="Arial" w:cs="Arial"/>
                <w:color w:val="000000"/>
                <w:sz w:val="22"/>
                <w:szCs w:val="22"/>
              </w:rPr>
              <w:t>221</w:t>
            </w:r>
          </w:p>
        </w:tc>
        <w:tc>
          <w:tcPr>
            <w:tcW w:w="1121" w:type="dxa"/>
            <w:tcBorders>
              <w:top w:val="nil"/>
              <w:left w:val="nil"/>
              <w:bottom w:val="nil"/>
              <w:right w:val="nil"/>
            </w:tcBorders>
            <w:vAlign w:val="center"/>
            <w:hideMark/>
          </w:tcPr>
          <w:p w14:paraId="65768C1D" w14:textId="77777777" w:rsidR="0059748F" w:rsidRDefault="0059748F">
            <w:pPr>
              <w:jc w:val="right"/>
              <w:rPr>
                <w:rFonts w:ascii="Arial" w:hAnsi="Arial" w:cs="Arial"/>
                <w:color w:val="000000"/>
                <w:sz w:val="22"/>
                <w:szCs w:val="22"/>
              </w:rPr>
            </w:pPr>
            <w:r>
              <w:rPr>
                <w:rFonts w:ascii="Arial" w:hAnsi="Arial" w:cs="Arial"/>
                <w:color w:val="000000"/>
                <w:sz w:val="22"/>
                <w:szCs w:val="22"/>
              </w:rPr>
              <w:t>3</w:t>
            </w:r>
          </w:p>
        </w:tc>
        <w:tc>
          <w:tcPr>
            <w:tcW w:w="2070" w:type="dxa"/>
            <w:tcBorders>
              <w:top w:val="nil"/>
              <w:left w:val="nil"/>
              <w:bottom w:val="nil"/>
              <w:right w:val="nil"/>
            </w:tcBorders>
            <w:vAlign w:val="center"/>
            <w:hideMark/>
          </w:tcPr>
          <w:p w14:paraId="0FEA2528" w14:textId="77777777" w:rsidR="0059748F" w:rsidRDefault="0059748F">
            <w:pPr>
              <w:jc w:val="right"/>
              <w:rPr>
                <w:rFonts w:ascii="Arial" w:hAnsi="Arial" w:cs="Arial"/>
                <w:color w:val="000000"/>
                <w:sz w:val="22"/>
                <w:szCs w:val="22"/>
              </w:rPr>
            </w:pPr>
            <w:r>
              <w:rPr>
                <w:rFonts w:ascii="Arial" w:hAnsi="Arial" w:cs="Arial"/>
                <w:color w:val="000000"/>
                <w:sz w:val="22"/>
                <w:szCs w:val="22"/>
              </w:rPr>
              <w:t>10</w:t>
            </w:r>
          </w:p>
        </w:tc>
        <w:tc>
          <w:tcPr>
            <w:tcW w:w="1890" w:type="dxa"/>
            <w:tcBorders>
              <w:top w:val="nil"/>
              <w:left w:val="nil"/>
              <w:bottom w:val="nil"/>
              <w:right w:val="nil"/>
            </w:tcBorders>
            <w:vAlign w:val="center"/>
            <w:hideMark/>
          </w:tcPr>
          <w:p w14:paraId="24A0233C" w14:textId="77777777" w:rsidR="0059748F" w:rsidRDefault="0059748F">
            <w:pPr>
              <w:jc w:val="right"/>
              <w:rPr>
                <w:rFonts w:ascii="Arial" w:hAnsi="Arial" w:cs="Arial"/>
                <w:color w:val="000000"/>
                <w:sz w:val="22"/>
                <w:szCs w:val="22"/>
              </w:rPr>
            </w:pPr>
            <w:r>
              <w:rPr>
                <w:rFonts w:ascii="Arial" w:hAnsi="Arial" w:cs="Arial"/>
                <w:color w:val="000000"/>
                <w:sz w:val="22"/>
                <w:szCs w:val="22"/>
              </w:rPr>
              <w:t>4.5</w:t>
            </w:r>
          </w:p>
        </w:tc>
      </w:tr>
      <w:tr w:rsidR="0059748F" w14:paraId="4542023A" w14:textId="77777777" w:rsidTr="00C552E1">
        <w:trPr>
          <w:trHeight w:val="210"/>
        </w:trPr>
        <w:tc>
          <w:tcPr>
            <w:tcW w:w="1537" w:type="dxa"/>
            <w:tcBorders>
              <w:top w:val="nil"/>
              <w:left w:val="nil"/>
              <w:bottom w:val="nil"/>
              <w:right w:val="nil"/>
            </w:tcBorders>
            <w:vAlign w:val="center"/>
            <w:hideMark/>
          </w:tcPr>
          <w:p w14:paraId="44B9C11E" w14:textId="77777777" w:rsidR="0059748F" w:rsidRDefault="0059748F">
            <w:pPr>
              <w:rPr>
                <w:rFonts w:ascii="Arial" w:hAnsi="Arial" w:cs="Arial"/>
                <w:color w:val="000000"/>
                <w:sz w:val="22"/>
                <w:szCs w:val="22"/>
              </w:rPr>
            </w:pPr>
            <w:r>
              <w:rPr>
                <w:rFonts w:ascii="Arial" w:hAnsi="Arial" w:cs="Arial"/>
                <w:color w:val="000000"/>
                <w:sz w:val="22"/>
                <w:szCs w:val="22"/>
              </w:rPr>
              <w:t>Shrubs</w:t>
            </w:r>
          </w:p>
        </w:tc>
        <w:tc>
          <w:tcPr>
            <w:tcW w:w="1782" w:type="dxa"/>
            <w:tcBorders>
              <w:top w:val="nil"/>
              <w:left w:val="nil"/>
              <w:bottom w:val="nil"/>
              <w:right w:val="nil"/>
            </w:tcBorders>
            <w:vAlign w:val="center"/>
            <w:hideMark/>
          </w:tcPr>
          <w:p w14:paraId="25326B40" w14:textId="77777777" w:rsidR="0059748F" w:rsidRDefault="0059748F">
            <w:pPr>
              <w:rPr>
                <w:rFonts w:ascii="Arial" w:hAnsi="Arial" w:cs="Arial"/>
                <w:color w:val="000000"/>
                <w:sz w:val="22"/>
                <w:szCs w:val="22"/>
              </w:rPr>
            </w:pPr>
            <w:proofErr w:type="spellStart"/>
            <w:r>
              <w:rPr>
                <w:rFonts w:ascii="Arial" w:hAnsi="Arial" w:cs="Arial"/>
                <w:color w:val="000000"/>
                <w:sz w:val="22"/>
                <w:szCs w:val="22"/>
              </w:rPr>
              <w:t>elevation_group</w:t>
            </w:r>
            <w:proofErr w:type="spellEnd"/>
          </w:p>
        </w:tc>
        <w:tc>
          <w:tcPr>
            <w:tcW w:w="865" w:type="dxa"/>
            <w:tcBorders>
              <w:top w:val="nil"/>
              <w:left w:val="nil"/>
              <w:bottom w:val="nil"/>
              <w:right w:val="nil"/>
            </w:tcBorders>
            <w:vAlign w:val="center"/>
            <w:hideMark/>
          </w:tcPr>
          <w:p w14:paraId="1A493771" w14:textId="77777777" w:rsidR="0059748F" w:rsidRDefault="0059748F">
            <w:pPr>
              <w:jc w:val="right"/>
              <w:rPr>
                <w:rFonts w:ascii="Arial" w:hAnsi="Arial" w:cs="Arial"/>
                <w:color w:val="000000"/>
                <w:sz w:val="22"/>
                <w:szCs w:val="22"/>
              </w:rPr>
            </w:pPr>
            <w:r>
              <w:rPr>
                <w:rFonts w:ascii="Arial" w:hAnsi="Arial" w:cs="Arial"/>
                <w:color w:val="000000"/>
                <w:sz w:val="22"/>
                <w:szCs w:val="22"/>
              </w:rPr>
              <w:t>194</w:t>
            </w:r>
          </w:p>
        </w:tc>
        <w:tc>
          <w:tcPr>
            <w:tcW w:w="815" w:type="dxa"/>
            <w:tcBorders>
              <w:top w:val="nil"/>
              <w:left w:val="nil"/>
              <w:bottom w:val="nil"/>
              <w:right w:val="nil"/>
            </w:tcBorders>
            <w:vAlign w:val="center"/>
            <w:hideMark/>
          </w:tcPr>
          <w:p w14:paraId="05E09E94" w14:textId="77777777" w:rsidR="0059748F" w:rsidRDefault="0059748F">
            <w:pPr>
              <w:jc w:val="right"/>
              <w:rPr>
                <w:rFonts w:ascii="Arial" w:hAnsi="Arial" w:cs="Arial"/>
                <w:color w:val="000000"/>
                <w:sz w:val="22"/>
                <w:szCs w:val="22"/>
              </w:rPr>
            </w:pPr>
            <w:r>
              <w:rPr>
                <w:rFonts w:ascii="Arial" w:hAnsi="Arial" w:cs="Arial"/>
                <w:color w:val="000000"/>
                <w:sz w:val="22"/>
                <w:szCs w:val="22"/>
              </w:rPr>
              <w:t>101</w:t>
            </w:r>
          </w:p>
        </w:tc>
        <w:tc>
          <w:tcPr>
            <w:tcW w:w="1121" w:type="dxa"/>
            <w:tcBorders>
              <w:top w:val="nil"/>
              <w:left w:val="nil"/>
              <w:bottom w:val="nil"/>
              <w:right w:val="nil"/>
            </w:tcBorders>
            <w:vAlign w:val="center"/>
            <w:hideMark/>
          </w:tcPr>
          <w:p w14:paraId="153053E8" w14:textId="77777777" w:rsidR="0059748F" w:rsidRDefault="0059748F">
            <w:pPr>
              <w:jc w:val="right"/>
              <w:rPr>
                <w:rFonts w:ascii="Arial" w:hAnsi="Arial" w:cs="Arial"/>
                <w:color w:val="000000"/>
                <w:sz w:val="22"/>
                <w:szCs w:val="22"/>
              </w:rPr>
            </w:pPr>
            <w:r>
              <w:rPr>
                <w:rFonts w:ascii="Arial" w:hAnsi="Arial" w:cs="Arial"/>
                <w:color w:val="000000"/>
                <w:sz w:val="22"/>
                <w:szCs w:val="22"/>
              </w:rPr>
              <w:t>3</w:t>
            </w:r>
          </w:p>
        </w:tc>
        <w:tc>
          <w:tcPr>
            <w:tcW w:w="2070" w:type="dxa"/>
            <w:tcBorders>
              <w:top w:val="nil"/>
              <w:left w:val="nil"/>
              <w:bottom w:val="nil"/>
              <w:right w:val="nil"/>
            </w:tcBorders>
            <w:vAlign w:val="center"/>
            <w:hideMark/>
          </w:tcPr>
          <w:p w14:paraId="7A0FB156" w14:textId="77777777" w:rsidR="0059748F" w:rsidRDefault="0059748F">
            <w:pPr>
              <w:jc w:val="right"/>
              <w:rPr>
                <w:rFonts w:ascii="Arial" w:hAnsi="Arial" w:cs="Arial"/>
                <w:color w:val="000000"/>
                <w:sz w:val="22"/>
                <w:szCs w:val="22"/>
              </w:rPr>
            </w:pPr>
            <w:r>
              <w:rPr>
                <w:rFonts w:ascii="Arial" w:hAnsi="Arial" w:cs="Arial"/>
                <w:color w:val="000000"/>
                <w:sz w:val="22"/>
                <w:szCs w:val="22"/>
              </w:rPr>
              <w:t>15</w:t>
            </w:r>
          </w:p>
        </w:tc>
        <w:tc>
          <w:tcPr>
            <w:tcW w:w="1890" w:type="dxa"/>
            <w:tcBorders>
              <w:top w:val="nil"/>
              <w:left w:val="nil"/>
              <w:bottom w:val="nil"/>
              <w:right w:val="nil"/>
            </w:tcBorders>
            <w:vAlign w:val="center"/>
            <w:hideMark/>
          </w:tcPr>
          <w:p w14:paraId="47132A13" w14:textId="77777777" w:rsidR="0059748F" w:rsidRDefault="0059748F">
            <w:pPr>
              <w:jc w:val="right"/>
              <w:rPr>
                <w:rFonts w:ascii="Arial" w:hAnsi="Arial" w:cs="Arial"/>
                <w:color w:val="000000"/>
                <w:sz w:val="22"/>
                <w:szCs w:val="22"/>
              </w:rPr>
            </w:pPr>
            <w:r>
              <w:rPr>
                <w:rFonts w:ascii="Arial" w:hAnsi="Arial" w:cs="Arial"/>
                <w:color w:val="000000"/>
                <w:sz w:val="22"/>
                <w:szCs w:val="22"/>
              </w:rPr>
              <w:t>14.9</w:t>
            </w:r>
          </w:p>
        </w:tc>
      </w:tr>
      <w:tr w:rsidR="0059748F" w14:paraId="5C659386" w14:textId="77777777" w:rsidTr="00C552E1">
        <w:trPr>
          <w:trHeight w:val="210"/>
        </w:trPr>
        <w:tc>
          <w:tcPr>
            <w:tcW w:w="1537" w:type="dxa"/>
            <w:tcBorders>
              <w:top w:val="nil"/>
              <w:left w:val="nil"/>
              <w:bottom w:val="nil"/>
              <w:right w:val="nil"/>
            </w:tcBorders>
            <w:vAlign w:val="center"/>
            <w:hideMark/>
          </w:tcPr>
          <w:p w14:paraId="105C576B" w14:textId="77777777" w:rsidR="0059748F" w:rsidRDefault="0059748F">
            <w:pPr>
              <w:rPr>
                <w:rFonts w:ascii="Arial" w:hAnsi="Arial" w:cs="Arial"/>
                <w:color w:val="000000"/>
                <w:sz w:val="22"/>
                <w:szCs w:val="22"/>
              </w:rPr>
            </w:pPr>
            <w:r>
              <w:rPr>
                <w:rFonts w:ascii="Arial" w:hAnsi="Arial" w:cs="Arial"/>
                <w:color w:val="000000"/>
                <w:sz w:val="22"/>
                <w:szCs w:val="22"/>
              </w:rPr>
              <w:t>Herbs</w:t>
            </w:r>
          </w:p>
        </w:tc>
        <w:tc>
          <w:tcPr>
            <w:tcW w:w="1782" w:type="dxa"/>
            <w:tcBorders>
              <w:top w:val="nil"/>
              <w:left w:val="nil"/>
              <w:bottom w:val="nil"/>
              <w:right w:val="nil"/>
            </w:tcBorders>
            <w:vAlign w:val="center"/>
            <w:hideMark/>
          </w:tcPr>
          <w:p w14:paraId="41927060" w14:textId="77777777" w:rsidR="0059748F" w:rsidRDefault="0059748F">
            <w:pPr>
              <w:rPr>
                <w:rFonts w:ascii="Arial" w:hAnsi="Arial" w:cs="Arial"/>
                <w:color w:val="000000"/>
                <w:sz w:val="22"/>
                <w:szCs w:val="22"/>
              </w:rPr>
            </w:pPr>
            <w:proofErr w:type="spellStart"/>
            <w:r>
              <w:rPr>
                <w:rFonts w:ascii="Arial" w:hAnsi="Arial" w:cs="Arial"/>
                <w:color w:val="000000"/>
                <w:sz w:val="22"/>
                <w:szCs w:val="22"/>
              </w:rPr>
              <w:t>elevation_group</w:t>
            </w:r>
            <w:proofErr w:type="spellEnd"/>
          </w:p>
        </w:tc>
        <w:tc>
          <w:tcPr>
            <w:tcW w:w="865" w:type="dxa"/>
            <w:tcBorders>
              <w:top w:val="nil"/>
              <w:left w:val="nil"/>
              <w:bottom w:val="nil"/>
              <w:right w:val="nil"/>
            </w:tcBorders>
            <w:vAlign w:val="center"/>
            <w:hideMark/>
          </w:tcPr>
          <w:p w14:paraId="29EDD7D0" w14:textId="77777777" w:rsidR="0059748F" w:rsidRDefault="0059748F">
            <w:pPr>
              <w:jc w:val="right"/>
              <w:rPr>
                <w:rFonts w:ascii="Arial" w:hAnsi="Arial" w:cs="Arial"/>
                <w:color w:val="000000"/>
                <w:sz w:val="22"/>
                <w:szCs w:val="22"/>
              </w:rPr>
            </w:pPr>
            <w:r>
              <w:rPr>
                <w:rFonts w:ascii="Arial" w:hAnsi="Arial" w:cs="Arial"/>
                <w:color w:val="000000"/>
                <w:sz w:val="22"/>
                <w:szCs w:val="22"/>
              </w:rPr>
              <w:t>206</w:t>
            </w:r>
          </w:p>
        </w:tc>
        <w:tc>
          <w:tcPr>
            <w:tcW w:w="815" w:type="dxa"/>
            <w:tcBorders>
              <w:top w:val="nil"/>
              <w:left w:val="nil"/>
              <w:bottom w:val="nil"/>
              <w:right w:val="nil"/>
            </w:tcBorders>
            <w:vAlign w:val="center"/>
            <w:hideMark/>
          </w:tcPr>
          <w:p w14:paraId="247CFE3C" w14:textId="77777777" w:rsidR="0059748F" w:rsidRDefault="0059748F">
            <w:pPr>
              <w:jc w:val="right"/>
              <w:rPr>
                <w:rFonts w:ascii="Arial" w:hAnsi="Arial" w:cs="Arial"/>
                <w:color w:val="000000"/>
                <w:sz w:val="22"/>
                <w:szCs w:val="22"/>
              </w:rPr>
            </w:pPr>
            <w:r>
              <w:rPr>
                <w:rFonts w:ascii="Arial" w:hAnsi="Arial" w:cs="Arial"/>
                <w:color w:val="000000"/>
                <w:sz w:val="22"/>
                <w:szCs w:val="22"/>
              </w:rPr>
              <w:t>134</w:t>
            </w:r>
          </w:p>
        </w:tc>
        <w:tc>
          <w:tcPr>
            <w:tcW w:w="1121" w:type="dxa"/>
            <w:tcBorders>
              <w:top w:val="nil"/>
              <w:left w:val="nil"/>
              <w:bottom w:val="nil"/>
              <w:right w:val="nil"/>
            </w:tcBorders>
            <w:vAlign w:val="center"/>
            <w:hideMark/>
          </w:tcPr>
          <w:p w14:paraId="6A321C0F" w14:textId="77777777" w:rsidR="0059748F" w:rsidRDefault="0059748F">
            <w:pPr>
              <w:jc w:val="right"/>
              <w:rPr>
                <w:rFonts w:ascii="Arial" w:hAnsi="Arial" w:cs="Arial"/>
                <w:color w:val="000000"/>
                <w:sz w:val="22"/>
                <w:szCs w:val="22"/>
              </w:rPr>
            </w:pPr>
            <w:r>
              <w:rPr>
                <w:rFonts w:ascii="Arial" w:hAnsi="Arial" w:cs="Arial"/>
                <w:color w:val="000000"/>
                <w:sz w:val="22"/>
                <w:szCs w:val="22"/>
              </w:rPr>
              <w:t>3</w:t>
            </w:r>
          </w:p>
        </w:tc>
        <w:tc>
          <w:tcPr>
            <w:tcW w:w="2070" w:type="dxa"/>
            <w:tcBorders>
              <w:top w:val="nil"/>
              <w:left w:val="nil"/>
              <w:bottom w:val="nil"/>
              <w:right w:val="nil"/>
            </w:tcBorders>
            <w:vAlign w:val="center"/>
            <w:hideMark/>
          </w:tcPr>
          <w:p w14:paraId="1F6B6A9B" w14:textId="77777777" w:rsidR="0059748F" w:rsidRDefault="0059748F">
            <w:pPr>
              <w:jc w:val="right"/>
              <w:rPr>
                <w:rFonts w:ascii="Arial" w:hAnsi="Arial" w:cs="Arial"/>
                <w:color w:val="000000"/>
                <w:sz w:val="22"/>
                <w:szCs w:val="22"/>
              </w:rPr>
            </w:pPr>
            <w:r>
              <w:rPr>
                <w:rFonts w:ascii="Arial" w:hAnsi="Arial" w:cs="Arial"/>
                <w:color w:val="000000"/>
                <w:sz w:val="22"/>
                <w:szCs w:val="22"/>
              </w:rPr>
              <w:t>10</w:t>
            </w:r>
          </w:p>
        </w:tc>
        <w:tc>
          <w:tcPr>
            <w:tcW w:w="1890" w:type="dxa"/>
            <w:tcBorders>
              <w:top w:val="nil"/>
              <w:left w:val="nil"/>
              <w:bottom w:val="nil"/>
              <w:right w:val="nil"/>
            </w:tcBorders>
            <w:vAlign w:val="center"/>
            <w:hideMark/>
          </w:tcPr>
          <w:p w14:paraId="76E57926" w14:textId="77777777" w:rsidR="0059748F" w:rsidRDefault="0059748F">
            <w:pPr>
              <w:jc w:val="right"/>
              <w:rPr>
                <w:rFonts w:ascii="Arial" w:hAnsi="Arial" w:cs="Arial"/>
                <w:color w:val="000000"/>
                <w:sz w:val="22"/>
                <w:szCs w:val="22"/>
              </w:rPr>
            </w:pPr>
            <w:r>
              <w:rPr>
                <w:rFonts w:ascii="Arial" w:hAnsi="Arial" w:cs="Arial"/>
                <w:color w:val="000000"/>
                <w:sz w:val="22"/>
                <w:szCs w:val="22"/>
              </w:rPr>
              <w:t>7.5</w:t>
            </w:r>
          </w:p>
        </w:tc>
      </w:tr>
      <w:tr w:rsidR="0059748F" w14:paraId="294AC63F" w14:textId="77777777" w:rsidTr="00C552E1">
        <w:trPr>
          <w:trHeight w:val="210"/>
        </w:trPr>
        <w:tc>
          <w:tcPr>
            <w:tcW w:w="1537" w:type="dxa"/>
            <w:tcBorders>
              <w:top w:val="nil"/>
              <w:left w:val="nil"/>
              <w:bottom w:val="single" w:sz="4" w:space="0" w:color="auto"/>
              <w:right w:val="nil"/>
            </w:tcBorders>
            <w:vAlign w:val="center"/>
            <w:hideMark/>
          </w:tcPr>
          <w:p w14:paraId="3FD96B19" w14:textId="77777777" w:rsidR="0059748F" w:rsidRDefault="0059748F">
            <w:pPr>
              <w:rPr>
                <w:rFonts w:ascii="Arial" w:hAnsi="Arial" w:cs="Arial"/>
                <w:color w:val="000000"/>
                <w:sz w:val="22"/>
                <w:szCs w:val="22"/>
              </w:rPr>
            </w:pPr>
            <w:r>
              <w:rPr>
                <w:rFonts w:ascii="Arial" w:hAnsi="Arial" w:cs="Arial"/>
                <w:color w:val="000000"/>
                <w:sz w:val="22"/>
                <w:szCs w:val="22"/>
              </w:rPr>
              <w:t>Regeneration</w:t>
            </w:r>
          </w:p>
        </w:tc>
        <w:tc>
          <w:tcPr>
            <w:tcW w:w="1782" w:type="dxa"/>
            <w:tcBorders>
              <w:top w:val="nil"/>
              <w:left w:val="nil"/>
              <w:bottom w:val="single" w:sz="4" w:space="0" w:color="auto"/>
              <w:right w:val="nil"/>
            </w:tcBorders>
            <w:vAlign w:val="center"/>
            <w:hideMark/>
          </w:tcPr>
          <w:p w14:paraId="12EE7BBF" w14:textId="77777777" w:rsidR="0059748F" w:rsidRDefault="0059748F">
            <w:pPr>
              <w:rPr>
                <w:rFonts w:ascii="Arial" w:hAnsi="Arial" w:cs="Arial"/>
                <w:color w:val="000000"/>
                <w:sz w:val="22"/>
                <w:szCs w:val="22"/>
              </w:rPr>
            </w:pPr>
            <w:proofErr w:type="spellStart"/>
            <w:r>
              <w:rPr>
                <w:rFonts w:ascii="Arial" w:hAnsi="Arial" w:cs="Arial"/>
                <w:color w:val="000000"/>
                <w:sz w:val="22"/>
                <w:szCs w:val="22"/>
              </w:rPr>
              <w:t>elevation_group</w:t>
            </w:r>
            <w:proofErr w:type="spellEnd"/>
          </w:p>
        </w:tc>
        <w:tc>
          <w:tcPr>
            <w:tcW w:w="865" w:type="dxa"/>
            <w:tcBorders>
              <w:top w:val="nil"/>
              <w:left w:val="nil"/>
              <w:bottom w:val="single" w:sz="4" w:space="0" w:color="auto"/>
              <w:right w:val="nil"/>
            </w:tcBorders>
            <w:vAlign w:val="center"/>
            <w:hideMark/>
          </w:tcPr>
          <w:p w14:paraId="620E03CF" w14:textId="77777777" w:rsidR="0059748F" w:rsidRDefault="0059748F">
            <w:pPr>
              <w:jc w:val="right"/>
              <w:rPr>
                <w:rFonts w:ascii="Arial" w:hAnsi="Arial" w:cs="Arial"/>
                <w:color w:val="000000"/>
                <w:sz w:val="22"/>
                <w:szCs w:val="22"/>
              </w:rPr>
            </w:pPr>
            <w:r>
              <w:rPr>
                <w:rFonts w:ascii="Arial" w:hAnsi="Arial" w:cs="Arial"/>
                <w:color w:val="000000"/>
                <w:sz w:val="22"/>
                <w:szCs w:val="22"/>
              </w:rPr>
              <w:t>205</w:t>
            </w:r>
          </w:p>
        </w:tc>
        <w:tc>
          <w:tcPr>
            <w:tcW w:w="815" w:type="dxa"/>
            <w:tcBorders>
              <w:top w:val="nil"/>
              <w:left w:val="nil"/>
              <w:bottom w:val="single" w:sz="4" w:space="0" w:color="auto"/>
              <w:right w:val="nil"/>
            </w:tcBorders>
            <w:vAlign w:val="center"/>
            <w:hideMark/>
          </w:tcPr>
          <w:p w14:paraId="4EB50998" w14:textId="77777777" w:rsidR="0059748F" w:rsidRDefault="0059748F">
            <w:pPr>
              <w:jc w:val="right"/>
              <w:rPr>
                <w:rFonts w:ascii="Arial" w:hAnsi="Arial" w:cs="Arial"/>
                <w:color w:val="000000"/>
                <w:sz w:val="22"/>
                <w:szCs w:val="22"/>
              </w:rPr>
            </w:pPr>
            <w:r>
              <w:rPr>
                <w:rFonts w:ascii="Arial" w:hAnsi="Arial" w:cs="Arial"/>
                <w:color w:val="000000"/>
                <w:sz w:val="22"/>
                <w:szCs w:val="22"/>
              </w:rPr>
              <w:t>109</w:t>
            </w:r>
          </w:p>
        </w:tc>
        <w:tc>
          <w:tcPr>
            <w:tcW w:w="1121" w:type="dxa"/>
            <w:tcBorders>
              <w:top w:val="nil"/>
              <w:left w:val="nil"/>
              <w:bottom w:val="single" w:sz="4" w:space="0" w:color="auto"/>
              <w:right w:val="nil"/>
            </w:tcBorders>
            <w:vAlign w:val="center"/>
            <w:hideMark/>
          </w:tcPr>
          <w:p w14:paraId="123DED8E" w14:textId="77777777" w:rsidR="0059748F" w:rsidRDefault="0059748F">
            <w:pPr>
              <w:jc w:val="right"/>
              <w:rPr>
                <w:rFonts w:ascii="Arial" w:hAnsi="Arial" w:cs="Arial"/>
                <w:color w:val="000000"/>
                <w:sz w:val="22"/>
                <w:szCs w:val="22"/>
              </w:rPr>
            </w:pPr>
            <w:r>
              <w:rPr>
                <w:rFonts w:ascii="Arial" w:hAnsi="Arial" w:cs="Arial"/>
                <w:color w:val="000000"/>
                <w:sz w:val="22"/>
                <w:szCs w:val="22"/>
              </w:rPr>
              <w:t>3</w:t>
            </w:r>
          </w:p>
        </w:tc>
        <w:tc>
          <w:tcPr>
            <w:tcW w:w="2070" w:type="dxa"/>
            <w:tcBorders>
              <w:top w:val="nil"/>
              <w:left w:val="nil"/>
              <w:bottom w:val="single" w:sz="4" w:space="0" w:color="auto"/>
              <w:right w:val="nil"/>
            </w:tcBorders>
            <w:vAlign w:val="center"/>
            <w:hideMark/>
          </w:tcPr>
          <w:p w14:paraId="6CCF1230" w14:textId="77777777" w:rsidR="0059748F" w:rsidRDefault="0059748F">
            <w:pPr>
              <w:jc w:val="right"/>
              <w:rPr>
                <w:rFonts w:ascii="Arial" w:hAnsi="Arial" w:cs="Arial"/>
                <w:color w:val="000000"/>
                <w:sz w:val="22"/>
                <w:szCs w:val="22"/>
              </w:rPr>
            </w:pPr>
            <w:r>
              <w:rPr>
                <w:rFonts w:ascii="Arial" w:hAnsi="Arial" w:cs="Arial"/>
                <w:color w:val="000000"/>
                <w:sz w:val="22"/>
                <w:szCs w:val="22"/>
              </w:rPr>
              <w:t>8</w:t>
            </w:r>
          </w:p>
        </w:tc>
        <w:tc>
          <w:tcPr>
            <w:tcW w:w="1890" w:type="dxa"/>
            <w:tcBorders>
              <w:top w:val="nil"/>
              <w:left w:val="nil"/>
              <w:bottom w:val="single" w:sz="4" w:space="0" w:color="auto"/>
              <w:right w:val="nil"/>
            </w:tcBorders>
            <w:vAlign w:val="center"/>
            <w:hideMark/>
          </w:tcPr>
          <w:p w14:paraId="5EF99EB7" w14:textId="77777777" w:rsidR="0059748F" w:rsidRDefault="0059748F">
            <w:pPr>
              <w:jc w:val="right"/>
              <w:rPr>
                <w:rFonts w:ascii="Arial" w:hAnsi="Arial" w:cs="Arial"/>
                <w:color w:val="000000"/>
                <w:sz w:val="22"/>
                <w:szCs w:val="22"/>
              </w:rPr>
            </w:pPr>
            <w:r>
              <w:rPr>
                <w:rFonts w:ascii="Arial" w:hAnsi="Arial" w:cs="Arial"/>
                <w:color w:val="000000"/>
                <w:sz w:val="22"/>
                <w:szCs w:val="22"/>
              </w:rPr>
              <w:t>7.3</w:t>
            </w:r>
          </w:p>
        </w:tc>
      </w:tr>
    </w:tbl>
    <w:p w14:paraId="5D980754" w14:textId="15A13F86" w:rsidR="004B3680" w:rsidRPr="004B3680" w:rsidRDefault="004B3680" w:rsidP="004B3680">
      <w:pPr>
        <w:pStyle w:val="Heading3"/>
      </w:pPr>
      <w:r>
        <w:lastRenderedPageBreak/>
        <w:t>T</w:t>
      </w:r>
      <w:r w:rsidRPr="004B3680">
        <w:t>able 6.</w:t>
      </w:r>
    </w:p>
    <w:p w14:paraId="2C5E1415" w14:textId="46C257CD" w:rsidR="004B3680" w:rsidRPr="004B3680" w:rsidRDefault="006360D5" w:rsidP="004B3680">
      <w:pPr>
        <w:jc w:val="both"/>
        <w:rPr>
          <w:rFonts w:ascii="Arial" w:hAnsi="Arial" w:cs="Arial"/>
        </w:rPr>
      </w:pPr>
      <w:r w:rsidRPr="006360D5">
        <w:rPr>
          <w:rFonts w:ascii="Arial" w:hAnsi="Arial" w:cs="Arial"/>
        </w:rPr>
        <w:t xml:space="preserve">Cross-validated performance of machine-learning models predicting regeneration richness across five folds. </w:t>
      </w:r>
      <w:proofErr w:type="spellStart"/>
      <w:r w:rsidRPr="006360D5">
        <w:rPr>
          <w:rFonts w:ascii="Arial" w:hAnsi="Arial" w:cs="Arial"/>
        </w:rPr>
        <w:t>R²</w:t>
      </w:r>
      <w:proofErr w:type="spellEnd"/>
      <w:r w:rsidRPr="006360D5">
        <w:rPr>
          <w:rFonts w:ascii="Arial" w:hAnsi="Arial" w:cs="Arial"/>
        </w:rPr>
        <w:t xml:space="preserve"> denotes coefficient of determination; </w:t>
      </w:r>
      <w:proofErr w:type="spellStart"/>
      <w:r w:rsidRPr="006360D5">
        <w:rPr>
          <w:rFonts w:ascii="Arial" w:hAnsi="Arial" w:cs="Arial"/>
        </w:rPr>
        <w:t>RMSE</w:t>
      </w:r>
      <w:proofErr w:type="spellEnd"/>
      <w:r w:rsidRPr="006360D5">
        <w:rPr>
          <w:rFonts w:ascii="Arial" w:hAnsi="Arial" w:cs="Arial"/>
        </w:rPr>
        <w:t xml:space="preserve">, root mean square error; MAE, mean absolute error. Full fold-level </w:t>
      </w:r>
      <w:r w:rsidR="00F149B3" w:rsidRPr="006360D5">
        <w:rPr>
          <w:rFonts w:ascii="Arial" w:hAnsi="Arial" w:cs="Arial"/>
        </w:rPr>
        <w:t>output is</w:t>
      </w:r>
      <w:r w:rsidRPr="006360D5">
        <w:rPr>
          <w:rFonts w:ascii="Arial" w:hAnsi="Arial" w:cs="Arial"/>
        </w:rPr>
        <w:t xml:space="preserve"> provided in Appendix </w:t>
      </w:r>
      <w:proofErr w:type="spellStart"/>
      <w:r w:rsidRPr="006360D5">
        <w:rPr>
          <w:rFonts w:ascii="Arial" w:hAnsi="Arial" w:cs="Arial"/>
        </w:rPr>
        <w:t>S7</w:t>
      </w:r>
      <w:proofErr w:type="spellEnd"/>
      <w:r w:rsidRPr="006360D5">
        <w:rPr>
          <w:rFonts w:ascii="Arial" w:hAnsi="Arial" w:cs="Arial"/>
        </w:rPr>
        <w:t>.</w:t>
      </w:r>
    </w:p>
    <w:tbl>
      <w:tblPr>
        <w:tblW w:w="8650" w:type="dxa"/>
        <w:tblLook w:val="04A0" w:firstRow="1" w:lastRow="0" w:firstColumn="1" w:lastColumn="0" w:noHBand="0" w:noVBand="1"/>
      </w:tblPr>
      <w:tblGrid>
        <w:gridCol w:w="1730"/>
        <w:gridCol w:w="1730"/>
        <w:gridCol w:w="1730"/>
        <w:gridCol w:w="1730"/>
        <w:gridCol w:w="1730"/>
      </w:tblGrid>
      <w:tr w:rsidR="004B3680" w:rsidRPr="004B3680" w14:paraId="1EDC00B9" w14:textId="77777777" w:rsidTr="004B3680">
        <w:trPr>
          <w:trHeight w:val="232"/>
        </w:trPr>
        <w:tc>
          <w:tcPr>
            <w:tcW w:w="1730" w:type="dxa"/>
            <w:tcBorders>
              <w:top w:val="single" w:sz="4" w:space="0" w:color="auto"/>
              <w:left w:val="nil"/>
              <w:bottom w:val="single" w:sz="4" w:space="0" w:color="auto"/>
              <w:right w:val="nil"/>
            </w:tcBorders>
            <w:vAlign w:val="center"/>
            <w:hideMark/>
          </w:tcPr>
          <w:p w14:paraId="7E9CF23D" w14:textId="77777777" w:rsidR="004B3680" w:rsidRPr="004B3680" w:rsidRDefault="004B3680">
            <w:pPr>
              <w:jc w:val="center"/>
              <w:rPr>
                <w:rFonts w:ascii="Arial" w:hAnsi="Arial" w:cs="Arial"/>
                <w:b/>
                <w:bCs/>
                <w:color w:val="000000"/>
                <w:sz w:val="22"/>
                <w:szCs w:val="22"/>
              </w:rPr>
            </w:pPr>
            <w:r w:rsidRPr="004B3680">
              <w:rPr>
                <w:rFonts w:ascii="Arial" w:hAnsi="Arial" w:cs="Arial"/>
                <w:b/>
                <w:bCs/>
                <w:color w:val="000000"/>
                <w:sz w:val="22"/>
                <w:szCs w:val="22"/>
              </w:rPr>
              <w:t>Model</w:t>
            </w:r>
          </w:p>
        </w:tc>
        <w:tc>
          <w:tcPr>
            <w:tcW w:w="1730" w:type="dxa"/>
            <w:tcBorders>
              <w:top w:val="single" w:sz="4" w:space="0" w:color="auto"/>
              <w:left w:val="nil"/>
              <w:bottom w:val="single" w:sz="4" w:space="0" w:color="auto"/>
              <w:right w:val="nil"/>
            </w:tcBorders>
            <w:vAlign w:val="center"/>
            <w:hideMark/>
          </w:tcPr>
          <w:p w14:paraId="6605F8DB" w14:textId="77777777" w:rsidR="004B3680" w:rsidRPr="004B3680" w:rsidRDefault="004B3680">
            <w:pPr>
              <w:jc w:val="center"/>
              <w:rPr>
                <w:rFonts w:ascii="Arial" w:hAnsi="Arial" w:cs="Arial"/>
                <w:b/>
                <w:bCs/>
                <w:color w:val="000000"/>
                <w:sz w:val="22"/>
                <w:szCs w:val="22"/>
              </w:rPr>
            </w:pPr>
            <w:r w:rsidRPr="004B3680">
              <w:rPr>
                <w:rFonts w:ascii="Arial" w:hAnsi="Arial" w:cs="Arial"/>
                <w:b/>
                <w:bCs/>
                <w:color w:val="000000"/>
                <w:sz w:val="22"/>
                <w:szCs w:val="22"/>
              </w:rPr>
              <w:t>Predictors</w:t>
            </w:r>
          </w:p>
        </w:tc>
        <w:tc>
          <w:tcPr>
            <w:tcW w:w="1730" w:type="dxa"/>
            <w:tcBorders>
              <w:top w:val="single" w:sz="4" w:space="0" w:color="auto"/>
              <w:left w:val="nil"/>
              <w:bottom w:val="single" w:sz="4" w:space="0" w:color="auto"/>
              <w:right w:val="nil"/>
            </w:tcBorders>
            <w:vAlign w:val="center"/>
            <w:hideMark/>
          </w:tcPr>
          <w:p w14:paraId="0E28DC94" w14:textId="77777777" w:rsidR="004B3680" w:rsidRPr="004B3680" w:rsidRDefault="004B3680">
            <w:pPr>
              <w:jc w:val="center"/>
              <w:rPr>
                <w:rFonts w:ascii="Arial" w:hAnsi="Arial" w:cs="Arial"/>
                <w:b/>
                <w:bCs/>
                <w:color w:val="000000"/>
                <w:sz w:val="22"/>
                <w:szCs w:val="22"/>
              </w:rPr>
            </w:pPr>
            <w:proofErr w:type="spellStart"/>
            <w:r w:rsidRPr="004B3680">
              <w:rPr>
                <w:rFonts w:ascii="Arial" w:hAnsi="Arial" w:cs="Arial"/>
                <w:b/>
                <w:bCs/>
                <w:color w:val="000000"/>
                <w:sz w:val="22"/>
                <w:szCs w:val="22"/>
              </w:rPr>
              <w:t>R²</w:t>
            </w:r>
            <w:proofErr w:type="spellEnd"/>
            <w:r w:rsidRPr="004B3680">
              <w:rPr>
                <w:rFonts w:ascii="Arial" w:hAnsi="Arial" w:cs="Arial"/>
                <w:b/>
                <w:bCs/>
                <w:color w:val="000000"/>
                <w:sz w:val="22"/>
                <w:szCs w:val="22"/>
              </w:rPr>
              <w:t xml:space="preserve"> (CV)</w:t>
            </w:r>
          </w:p>
        </w:tc>
        <w:tc>
          <w:tcPr>
            <w:tcW w:w="1730" w:type="dxa"/>
            <w:tcBorders>
              <w:top w:val="single" w:sz="4" w:space="0" w:color="auto"/>
              <w:left w:val="nil"/>
              <w:bottom w:val="single" w:sz="4" w:space="0" w:color="auto"/>
              <w:right w:val="nil"/>
            </w:tcBorders>
            <w:vAlign w:val="center"/>
            <w:hideMark/>
          </w:tcPr>
          <w:p w14:paraId="50A2C646" w14:textId="77777777" w:rsidR="004B3680" w:rsidRPr="004B3680" w:rsidRDefault="004B3680">
            <w:pPr>
              <w:jc w:val="center"/>
              <w:rPr>
                <w:rFonts w:ascii="Arial" w:hAnsi="Arial" w:cs="Arial"/>
                <w:b/>
                <w:bCs/>
                <w:color w:val="000000"/>
                <w:sz w:val="22"/>
                <w:szCs w:val="22"/>
              </w:rPr>
            </w:pPr>
            <w:proofErr w:type="spellStart"/>
            <w:r w:rsidRPr="004B3680">
              <w:rPr>
                <w:rFonts w:ascii="Arial" w:hAnsi="Arial" w:cs="Arial"/>
                <w:b/>
                <w:bCs/>
                <w:color w:val="000000"/>
                <w:sz w:val="22"/>
                <w:szCs w:val="22"/>
              </w:rPr>
              <w:t>RMSE</w:t>
            </w:r>
            <w:proofErr w:type="spellEnd"/>
            <w:r w:rsidRPr="004B3680">
              <w:rPr>
                <w:rFonts w:ascii="Arial" w:hAnsi="Arial" w:cs="Arial"/>
                <w:b/>
                <w:bCs/>
                <w:color w:val="000000"/>
                <w:sz w:val="22"/>
                <w:szCs w:val="22"/>
              </w:rPr>
              <w:t xml:space="preserve"> (CV)</w:t>
            </w:r>
          </w:p>
        </w:tc>
        <w:tc>
          <w:tcPr>
            <w:tcW w:w="1730" w:type="dxa"/>
            <w:tcBorders>
              <w:top w:val="single" w:sz="4" w:space="0" w:color="auto"/>
              <w:left w:val="nil"/>
              <w:bottom w:val="single" w:sz="4" w:space="0" w:color="auto"/>
              <w:right w:val="nil"/>
            </w:tcBorders>
            <w:vAlign w:val="center"/>
            <w:hideMark/>
          </w:tcPr>
          <w:p w14:paraId="0F9D413A" w14:textId="77777777" w:rsidR="004B3680" w:rsidRPr="004B3680" w:rsidRDefault="004B3680">
            <w:pPr>
              <w:jc w:val="center"/>
              <w:rPr>
                <w:rFonts w:ascii="Arial" w:hAnsi="Arial" w:cs="Arial"/>
                <w:b/>
                <w:bCs/>
                <w:color w:val="000000"/>
                <w:sz w:val="22"/>
                <w:szCs w:val="22"/>
              </w:rPr>
            </w:pPr>
            <w:r w:rsidRPr="004B3680">
              <w:rPr>
                <w:rFonts w:ascii="Arial" w:hAnsi="Arial" w:cs="Arial"/>
                <w:b/>
                <w:bCs/>
                <w:color w:val="000000"/>
                <w:sz w:val="22"/>
                <w:szCs w:val="22"/>
              </w:rPr>
              <w:t>MAE</w:t>
            </w:r>
          </w:p>
        </w:tc>
      </w:tr>
      <w:tr w:rsidR="004B3680" w:rsidRPr="004B3680" w14:paraId="0B014DA1" w14:textId="77777777" w:rsidTr="004B3680">
        <w:trPr>
          <w:trHeight w:val="232"/>
        </w:trPr>
        <w:tc>
          <w:tcPr>
            <w:tcW w:w="1730" w:type="dxa"/>
            <w:tcBorders>
              <w:top w:val="nil"/>
              <w:left w:val="nil"/>
              <w:bottom w:val="nil"/>
              <w:right w:val="nil"/>
            </w:tcBorders>
            <w:vAlign w:val="center"/>
            <w:hideMark/>
          </w:tcPr>
          <w:p w14:paraId="79148AF3"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Random forest</w:t>
            </w:r>
          </w:p>
        </w:tc>
        <w:tc>
          <w:tcPr>
            <w:tcW w:w="1730" w:type="dxa"/>
            <w:tcBorders>
              <w:top w:val="nil"/>
              <w:left w:val="nil"/>
              <w:bottom w:val="nil"/>
              <w:right w:val="nil"/>
            </w:tcBorders>
            <w:vAlign w:val="center"/>
            <w:hideMark/>
          </w:tcPr>
          <w:p w14:paraId="24239300" w14:textId="77777777" w:rsidR="004B3680" w:rsidRPr="004B3680" w:rsidRDefault="004B3680">
            <w:pPr>
              <w:jc w:val="right"/>
              <w:rPr>
                <w:rFonts w:ascii="Arial" w:hAnsi="Arial" w:cs="Arial"/>
                <w:color w:val="000000"/>
                <w:sz w:val="22"/>
                <w:szCs w:val="22"/>
              </w:rPr>
            </w:pPr>
            <w:r w:rsidRPr="004B3680">
              <w:rPr>
                <w:rFonts w:ascii="Arial" w:hAnsi="Arial" w:cs="Arial"/>
                <w:color w:val="000000"/>
                <w:sz w:val="22"/>
                <w:szCs w:val="22"/>
              </w:rPr>
              <w:t>13</w:t>
            </w:r>
          </w:p>
        </w:tc>
        <w:tc>
          <w:tcPr>
            <w:tcW w:w="1730" w:type="dxa"/>
            <w:tcBorders>
              <w:top w:val="nil"/>
              <w:left w:val="nil"/>
              <w:bottom w:val="nil"/>
              <w:right w:val="nil"/>
            </w:tcBorders>
            <w:vAlign w:val="center"/>
            <w:hideMark/>
          </w:tcPr>
          <w:p w14:paraId="03CB3142"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0.142 ± 0.040</w:t>
            </w:r>
          </w:p>
        </w:tc>
        <w:tc>
          <w:tcPr>
            <w:tcW w:w="1730" w:type="dxa"/>
            <w:tcBorders>
              <w:top w:val="nil"/>
              <w:left w:val="nil"/>
              <w:bottom w:val="nil"/>
              <w:right w:val="nil"/>
            </w:tcBorders>
            <w:vAlign w:val="center"/>
            <w:hideMark/>
          </w:tcPr>
          <w:p w14:paraId="252D64AE"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1.165 ± 0.182</w:t>
            </w:r>
          </w:p>
        </w:tc>
        <w:tc>
          <w:tcPr>
            <w:tcW w:w="1730" w:type="dxa"/>
            <w:tcBorders>
              <w:top w:val="nil"/>
              <w:left w:val="nil"/>
              <w:bottom w:val="nil"/>
              <w:right w:val="nil"/>
            </w:tcBorders>
            <w:vAlign w:val="center"/>
            <w:hideMark/>
          </w:tcPr>
          <w:p w14:paraId="597C276C" w14:textId="77777777" w:rsidR="004B3680" w:rsidRPr="004B3680" w:rsidRDefault="004B3680">
            <w:pPr>
              <w:jc w:val="right"/>
              <w:rPr>
                <w:rFonts w:ascii="Arial" w:hAnsi="Arial" w:cs="Arial"/>
                <w:color w:val="000000"/>
                <w:sz w:val="22"/>
                <w:szCs w:val="22"/>
              </w:rPr>
            </w:pPr>
            <w:r w:rsidRPr="004B3680">
              <w:rPr>
                <w:rFonts w:ascii="Arial" w:hAnsi="Arial" w:cs="Arial"/>
                <w:color w:val="000000"/>
                <w:sz w:val="22"/>
                <w:szCs w:val="22"/>
              </w:rPr>
              <w:t>0.907</w:t>
            </w:r>
          </w:p>
        </w:tc>
      </w:tr>
      <w:tr w:rsidR="004B3680" w:rsidRPr="004B3680" w14:paraId="4C09ECA9" w14:textId="77777777" w:rsidTr="004B3680">
        <w:trPr>
          <w:trHeight w:val="232"/>
        </w:trPr>
        <w:tc>
          <w:tcPr>
            <w:tcW w:w="1730" w:type="dxa"/>
            <w:tcBorders>
              <w:top w:val="nil"/>
              <w:left w:val="nil"/>
              <w:bottom w:val="single" w:sz="4" w:space="0" w:color="auto"/>
              <w:right w:val="nil"/>
            </w:tcBorders>
            <w:vAlign w:val="center"/>
            <w:hideMark/>
          </w:tcPr>
          <w:p w14:paraId="4C0BC279"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Gradient boosting</w:t>
            </w:r>
          </w:p>
        </w:tc>
        <w:tc>
          <w:tcPr>
            <w:tcW w:w="1730" w:type="dxa"/>
            <w:tcBorders>
              <w:top w:val="nil"/>
              <w:left w:val="nil"/>
              <w:bottom w:val="single" w:sz="4" w:space="0" w:color="auto"/>
              <w:right w:val="nil"/>
            </w:tcBorders>
            <w:vAlign w:val="center"/>
            <w:hideMark/>
          </w:tcPr>
          <w:p w14:paraId="7A308381" w14:textId="77777777" w:rsidR="004B3680" w:rsidRPr="004B3680" w:rsidRDefault="004B3680">
            <w:pPr>
              <w:jc w:val="right"/>
              <w:rPr>
                <w:rFonts w:ascii="Arial" w:hAnsi="Arial" w:cs="Arial"/>
                <w:color w:val="000000"/>
                <w:sz w:val="22"/>
                <w:szCs w:val="22"/>
              </w:rPr>
            </w:pPr>
            <w:r w:rsidRPr="004B3680">
              <w:rPr>
                <w:rFonts w:ascii="Arial" w:hAnsi="Arial" w:cs="Arial"/>
                <w:color w:val="000000"/>
                <w:sz w:val="22"/>
                <w:szCs w:val="22"/>
              </w:rPr>
              <w:t>13</w:t>
            </w:r>
          </w:p>
        </w:tc>
        <w:tc>
          <w:tcPr>
            <w:tcW w:w="1730" w:type="dxa"/>
            <w:tcBorders>
              <w:top w:val="nil"/>
              <w:left w:val="nil"/>
              <w:bottom w:val="single" w:sz="4" w:space="0" w:color="auto"/>
              <w:right w:val="nil"/>
            </w:tcBorders>
            <w:vAlign w:val="center"/>
            <w:hideMark/>
          </w:tcPr>
          <w:p w14:paraId="3231ED1E"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−0.009 ± 0.096</w:t>
            </w:r>
          </w:p>
        </w:tc>
        <w:tc>
          <w:tcPr>
            <w:tcW w:w="1730" w:type="dxa"/>
            <w:tcBorders>
              <w:top w:val="nil"/>
              <w:left w:val="nil"/>
              <w:bottom w:val="single" w:sz="4" w:space="0" w:color="auto"/>
              <w:right w:val="nil"/>
            </w:tcBorders>
            <w:vAlign w:val="center"/>
            <w:hideMark/>
          </w:tcPr>
          <w:p w14:paraId="4062581D" w14:textId="77777777" w:rsidR="004B3680" w:rsidRPr="004B3680" w:rsidRDefault="004B3680">
            <w:pPr>
              <w:rPr>
                <w:rFonts w:ascii="Arial" w:hAnsi="Arial" w:cs="Arial"/>
                <w:color w:val="000000"/>
                <w:sz w:val="22"/>
                <w:szCs w:val="22"/>
              </w:rPr>
            </w:pPr>
            <w:r w:rsidRPr="004B3680">
              <w:rPr>
                <w:rFonts w:ascii="Arial" w:hAnsi="Arial" w:cs="Arial"/>
                <w:color w:val="000000"/>
                <w:sz w:val="22"/>
                <w:szCs w:val="22"/>
              </w:rPr>
              <w:t>1.261 ± 0.192</w:t>
            </w:r>
          </w:p>
        </w:tc>
        <w:tc>
          <w:tcPr>
            <w:tcW w:w="1730" w:type="dxa"/>
            <w:tcBorders>
              <w:top w:val="nil"/>
              <w:left w:val="nil"/>
              <w:bottom w:val="single" w:sz="4" w:space="0" w:color="auto"/>
              <w:right w:val="nil"/>
            </w:tcBorders>
            <w:vAlign w:val="center"/>
            <w:hideMark/>
          </w:tcPr>
          <w:p w14:paraId="17DB1D90" w14:textId="77777777" w:rsidR="004B3680" w:rsidRPr="004B3680" w:rsidRDefault="004B3680">
            <w:pPr>
              <w:jc w:val="right"/>
              <w:rPr>
                <w:rFonts w:ascii="Arial" w:hAnsi="Arial" w:cs="Arial"/>
                <w:color w:val="000000"/>
                <w:sz w:val="22"/>
                <w:szCs w:val="22"/>
              </w:rPr>
            </w:pPr>
            <w:r w:rsidRPr="004B3680">
              <w:rPr>
                <w:rFonts w:ascii="Arial" w:hAnsi="Arial" w:cs="Arial"/>
                <w:color w:val="000000"/>
                <w:sz w:val="22"/>
                <w:szCs w:val="22"/>
              </w:rPr>
              <w:t>0.942</w:t>
            </w:r>
          </w:p>
        </w:tc>
      </w:tr>
    </w:tbl>
    <w:p w14:paraId="3035390E" w14:textId="31C33B05" w:rsidR="004B3680" w:rsidRPr="004B3680" w:rsidRDefault="004B3680" w:rsidP="004B3680">
      <w:pPr>
        <w:jc w:val="both"/>
        <w:rPr>
          <w:rFonts w:ascii="Arial" w:hAnsi="Arial" w:cs="Arial"/>
        </w:rPr>
      </w:pPr>
    </w:p>
    <w:p w14:paraId="775DEB7B" w14:textId="6D2224BB" w:rsidR="006B039B" w:rsidRPr="001B083A" w:rsidRDefault="00000000" w:rsidP="009166AB">
      <w:pPr>
        <w:jc w:val="both"/>
      </w:pPr>
      <w:r w:rsidRPr="009166AB">
        <w:rPr>
          <w:rFonts w:ascii="Arial" w:hAnsi="Arial" w:cs="Arial"/>
        </w:rPr>
        <w:br w:type="page"/>
      </w:r>
    </w:p>
    <w:p w14:paraId="691FBB4D" w14:textId="77777777" w:rsidR="006B039B" w:rsidRPr="006C0951" w:rsidRDefault="00000000" w:rsidP="006C0951">
      <w:pPr>
        <w:pStyle w:val="Heading1"/>
        <w:spacing w:line="276" w:lineRule="auto"/>
        <w:rPr>
          <w:sz w:val="22"/>
          <w:szCs w:val="22"/>
        </w:rPr>
      </w:pPr>
      <w:r w:rsidRPr="006C0951">
        <w:rPr>
          <w:sz w:val="22"/>
          <w:szCs w:val="22"/>
        </w:rPr>
        <w:lastRenderedPageBreak/>
        <w:t>Supporting information</w:t>
      </w:r>
    </w:p>
    <w:p w14:paraId="01616F4A"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S1</w:t>
      </w:r>
      <w:proofErr w:type="spellEnd"/>
      <w:r w:rsidRPr="006C0951">
        <w:rPr>
          <w:rFonts w:ascii="Arial" w:hAnsi="Arial" w:cs="Arial"/>
          <w:sz w:val="22"/>
          <w:szCs w:val="22"/>
        </w:rPr>
        <w:t>. TableS1_VIF_all_strata.csv — Variance inflation factor screening by stratum.</w:t>
      </w:r>
    </w:p>
    <w:p w14:paraId="11F71618"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S2</w:t>
      </w:r>
      <w:proofErr w:type="spellEnd"/>
      <w:r w:rsidRPr="006C0951">
        <w:rPr>
          <w:rFonts w:ascii="Arial" w:hAnsi="Arial" w:cs="Arial"/>
          <w:sz w:val="22"/>
          <w:szCs w:val="22"/>
        </w:rPr>
        <w:t xml:space="preserve">. TableS2_PERMANOVA_full.csv — Full </w:t>
      </w:r>
      <w:proofErr w:type="spellStart"/>
      <w:r w:rsidRPr="006C0951">
        <w:rPr>
          <w:rFonts w:ascii="Arial" w:hAnsi="Arial" w:cs="Arial"/>
          <w:sz w:val="22"/>
          <w:szCs w:val="22"/>
        </w:rPr>
        <w:t>PERMANOVA</w:t>
      </w:r>
      <w:proofErr w:type="spellEnd"/>
      <w:r w:rsidRPr="006C0951">
        <w:rPr>
          <w:rFonts w:ascii="Arial" w:hAnsi="Arial" w:cs="Arial"/>
          <w:sz w:val="22"/>
          <w:szCs w:val="22"/>
        </w:rPr>
        <w:t xml:space="preserve"> and dispersion outputs.</w:t>
      </w:r>
    </w:p>
    <w:p w14:paraId="4F1750A4"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S3</w:t>
      </w:r>
      <w:proofErr w:type="spellEnd"/>
      <w:r w:rsidRPr="006C0951">
        <w:rPr>
          <w:rFonts w:ascii="Arial" w:hAnsi="Arial" w:cs="Arial"/>
          <w:sz w:val="22"/>
          <w:szCs w:val="22"/>
        </w:rPr>
        <w:t xml:space="preserve">. TableS3_envfit_all.csv — </w:t>
      </w:r>
      <w:proofErr w:type="spellStart"/>
      <w:r w:rsidRPr="006C0951">
        <w:rPr>
          <w:rFonts w:ascii="Arial" w:hAnsi="Arial" w:cs="Arial"/>
          <w:sz w:val="22"/>
          <w:szCs w:val="22"/>
        </w:rPr>
        <w:t>Envfit</w:t>
      </w:r>
      <w:proofErr w:type="spellEnd"/>
      <w:r w:rsidRPr="006C0951">
        <w:rPr>
          <w:rFonts w:ascii="Arial" w:hAnsi="Arial" w:cs="Arial"/>
          <w:sz w:val="22"/>
          <w:szCs w:val="22"/>
        </w:rPr>
        <w:t xml:space="preserve"> results for all strata.</w:t>
      </w:r>
    </w:p>
    <w:p w14:paraId="4C7D7237"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S4</w:t>
      </w:r>
      <w:proofErr w:type="spellEnd"/>
      <w:r w:rsidRPr="006C0951">
        <w:rPr>
          <w:rFonts w:ascii="Arial" w:hAnsi="Arial" w:cs="Arial"/>
          <w:sz w:val="22"/>
          <w:szCs w:val="22"/>
        </w:rPr>
        <w:t>. TableS4_indicator_species_full.csv — Indicator species list.</w:t>
      </w:r>
    </w:p>
    <w:p w14:paraId="039386D8"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S5</w:t>
      </w:r>
      <w:proofErr w:type="spellEnd"/>
      <w:r w:rsidRPr="006C0951">
        <w:rPr>
          <w:rFonts w:ascii="Arial" w:hAnsi="Arial" w:cs="Arial"/>
          <w:sz w:val="22"/>
          <w:szCs w:val="22"/>
        </w:rPr>
        <w:t>. TableS5_ML_parameters.csv — Machine-learning model parameters.</w:t>
      </w:r>
    </w:p>
    <w:p w14:paraId="4DA8BE4C"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S6</w:t>
      </w:r>
      <w:proofErr w:type="spellEnd"/>
      <w:r w:rsidRPr="006C0951">
        <w:rPr>
          <w:rFonts w:ascii="Arial" w:hAnsi="Arial" w:cs="Arial"/>
          <w:sz w:val="22"/>
          <w:szCs w:val="22"/>
        </w:rPr>
        <w:t>. TableS6_variable_importance.csv — Variable importance outputs.</w:t>
      </w:r>
    </w:p>
    <w:p w14:paraId="5D993B6E"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S7</w:t>
      </w:r>
      <w:proofErr w:type="spellEnd"/>
      <w:r w:rsidRPr="006C0951">
        <w:rPr>
          <w:rFonts w:ascii="Arial" w:hAnsi="Arial" w:cs="Arial"/>
          <w:sz w:val="22"/>
          <w:szCs w:val="22"/>
        </w:rPr>
        <w:t>. TableS7_CV_fold_results.csv — Cross-validation fold results.</w:t>
      </w:r>
    </w:p>
    <w:p w14:paraId="5A89D249"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S8</w:t>
      </w:r>
      <w:proofErr w:type="spellEnd"/>
      <w:r w:rsidRPr="006C0951">
        <w:rPr>
          <w:rFonts w:ascii="Arial" w:hAnsi="Arial" w:cs="Arial"/>
          <w:sz w:val="22"/>
          <w:szCs w:val="22"/>
        </w:rPr>
        <w:t>. TableS8_diversity_correlations.csv — Diversity correlation matrix.</w:t>
      </w:r>
    </w:p>
    <w:p w14:paraId="745526DD"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S9</w:t>
      </w:r>
      <w:proofErr w:type="spellEnd"/>
      <w:r w:rsidRPr="006C0951">
        <w:rPr>
          <w:rFonts w:ascii="Arial" w:hAnsi="Arial" w:cs="Arial"/>
          <w:sz w:val="22"/>
          <w:szCs w:val="22"/>
        </w:rPr>
        <w:t>. TableS9_beta_diversity.csv — Beta diversity metrics.</w:t>
      </w:r>
    </w:p>
    <w:p w14:paraId="01C0DF28" w14:textId="77777777" w:rsidR="006B039B" w:rsidRPr="006C0951" w:rsidRDefault="00000000" w:rsidP="006C0951">
      <w:pPr>
        <w:spacing w:after="120" w:line="276" w:lineRule="auto"/>
        <w:jc w:val="both"/>
        <w:rPr>
          <w:rFonts w:ascii="Arial" w:hAnsi="Arial" w:cs="Arial"/>
          <w:sz w:val="22"/>
          <w:szCs w:val="22"/>
        </w:rPr>
      </w:pPr>
      <w:r w:rsidRPr="006C0951">
        <w:rPr>
          <w:rFonts w:ascii="Arial" w:hAnsi="Arial" w:cs="Arial"/>
          <w:sz w:val="22"/>
          <w:szCs w:val="22"/>
        </w:rPr>
        <w:t xml:space="preserve">Appendix </w:t>
      </w:r>
      <w:proofErr w:type="spellStart"/>
      <w:r w:rsidRPr="006C0951">
        <w:rPr>
          <w:rFonts w:ascii="Arial" w:hAnsi="Arial" w:cs="Arial"/>
          <w:sz w:val="22"/>
          <w:szCs w:val="22"/>
        </w:rPr>
        <w:t>S10</w:t>
      </w:r>
      <w:proofErr w:type="spellEnd"/>
      <w:r w:rsidRPr="006C0951">
        <w:rPr>
          <w:rFonts w:ascii="Arial" w:hAnsi="Arial" w:cs="Arial"/>
          <w:sz w:val="22"/>
          <w:szCs w:val="22"/>
        </w:rPr>
        <w:t>. TableS10_matrix_diagnostics.csv — Community matrix diagnostics.</w:t>
      </w:r>
    </w:p>
    <w:sectPr w:rsidR="006B039B" w:rsidRPr="006C09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80BA6"/>
    <w:multiLevelType w:val="hybridMultilevel"/>
    <w:tmpl w:val="3D7626DC"/>
    <w:lvl w:ilvl="0" w:tplc="23969D6C">
      <w:start w:val="1"/>
      <w:numFmt w:val="bullet"/>
      <w:lvlText w:val="●"/>
      <w:lvlJc w:val="left"/>
      <w:pPr>
        <w:ind w:left="720" w:hanging="360"/>
      </w:pPr>
    </w:lvl>
    <w:lvl w:ilvl="1" w:tplc="E80CBED8">
      <w:start w:val="1"/>
      <w:numFmt w:val="bullet"/>
      <w:lvlText w:val="○"/>
      <w:lvlJc w:val="left"/>
      <w:pPr>
        <w:ind w:left="1440" w:hanging="360"/>
      </w:pPr>
    </w:lvl>
    <w:lvl w:ilvl="2" w:tplc="EE164B1C">
      <w:start w:val="1"/>
      <w:numFmt w:val="bullet"/>
      <w:lvlText w:val="■"/>
      <w:lvlJc w:val="left"/>
      <w:pPr>
        <w:ind w:left="2160" w:hanging="360"/>
      </w:pPr>
    </w:lvl>
    <w:lvl w:ilvl="3" w:tplc="E8E40F6E">
      <w:start w:val="1"/>
      <w:numFmt w:val="bullet"/>
      <w:lvlText w:val="●"/>
      <w:lvlJc w:val="left"/>
      <w:pPr>
        <w:ind w:left="2880" w:hanging="360"/>
      </w:pPr>
    </w:lvl>
    <w:lvl w:ilvl="4" w:tplc="324A9450">
      <w:start w:val="1"/>
      <w:numFmt w:val="bullet"/>
      <w:lvlText w:val="○"/>
      <w:lvlJc w:val="left"/>
      <w:pPr>
        <w:ind w:left="3600" w:hanging="360"/>
      </w:pPr>
    </w:lvl>
    <w:lvl w:ilvl="5" w:tplc="37D66144">
      <w:start w:val="1"/>
      <w:numFmt w:val="bullet"/>
      <w:lvlText w:val="■"/>
      <w:lvlJc w:val="left"/>
      <w:pPr>
        <w:ind w:left="4320" w:hanging="360"/>
      </w:pPr>
    </w:lvl>
    <w:lvl w:ilvl="6" w:tplc="E8048512">
      <w:start w:val="1"/>
      <w:numFmt w:val="bullet"/>
      <w:lvlText w:val="●"/>
      <w:lvlJc w:val="left"/>
      <w:pPr>
        <w:ind w:left="5040" w:hanging="360"/>
      </w:pPr>
    </w:lvl>
    <w:lvl w:ilvl="7" w:tplc="8522EF10">
      <w:start w:val="1"/>
      <w:numFmt w:val="bullet"/>
      <w:lvlText w:val="●"/>
      <w:lvlJc w:val="left"/>
      <w:pPr>
        <w:ind w:left="5760" w:hanging="360"/>
      </w:pPr>
    </w:lvl>
    <w:lvl w:ilvl="8" w:tplc="E438F15E">
      <w:start w:val="1"/>
      <w:numFmt w:val="bullet"/>
      <w:lvlText w:val="●"/>
      <w:lvlJc w:val="left"/>
      <w:pPr>
        <w:ind w:left="6480" w:hanging="360"/>
      </w:pPr>
    </w:lvl>
  </w:abstractNum>
  <w:num w:numId="1" w16cid:durableId="1390884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39B"/>
    <w:rsid w:val="00015020"/>
    <w:rsid w:val="00081FCE"/>
    <w:rsid w:val="000D6629"/>
    <w:rsid w:val="000E2FEA"/>
    <w:rsid w:val="00100DEA"/>
    <w:rsid w:val="001564A0"/>
    <w:rsid w:val="00171884"/>
    <w:rsid w:val="001A0AA1"/>
    <w:rsid w:val="001B083A"/>
    <w:rsid w:val="00252037"/>
    <w:rsid w:val="0025361E"/>
    <w:rsid w:val="00254CAA"/>
    <w:rsid w:val="00265F4D"/>
    <w:rsid w:val="00270B7D"/>
    <w:rsid w:val="00291C24"/>
    <w:rsid w:val="00293F88"/>
    <w:rsid w:val="0029544D"/>
    <w:rsid w:val="002A4B50"/>
    <w:rsid w:val="002B0919"/>
    <w:rsid w:val="002B5699"/>
    <w:rsid w:val="002C48C9"/>
    <w:rsid w:val="0031177F"/>
    <w:rsid w:val="00313E1A"/>
    <w:rsid w:val="00326810"/>
    <w:rsid w:val="00360FD1"/>
    <w:rsid w:val="00365FCF"/>
    <w:rsid w:val="003C2153"/>
    <w:rsid w:val="003D3D2F"/>
    <w:rsid w:val="003F2760"/>
    <w:rsid w:val="00442178"/>
    <w:rsid w:val="00457622"/>
    <w:rsid w:val="004A354A"/>
    <w:rsid w:val="004B3680"/>
    <w:rsid w:val="004C27B4"/>
    <w:rsid w:val="004D0A7A"/>
    <w:rsid w:val="0050647A"/>
    <w:rsid w:val="00513AD4"/>
    <w:rsid w:val="005337F1"/>
    <w:rsid w:val="00581381"/>
    <w:rsid w:val="00587F3B"/>
    <w:rsid w:val="0059748F"/>
    <w:rsid w:val="005E33EC"/>
    <w:rsid w:val="005F01A3"/>
    <w:rsid w:val="00611C90"/>
    <w:rsid w:val="00615F63"/>
    <w:rsid w:val="00622C4E"/>
    <w:rsid w:val="00634E62"/>
    <w:rsid w:val="006360D5"/>
    <w:rsid w:val="00645317"/>
    <w:rsid w:val="0066174E"/>
    <w:rsid w:val="00687669"/>
    <w:rsid w:val="006968B1"/>
    <w:rsid w:val="006A4A25"/>
    <w:rsid w:val="006B039B"/>
    <w:rsid w:val="006B4A09"/>
    <w:rsid w:val="006C0951"/>
    <w:rsid w:val="006D0599"/>
    <w:rsid w:val="006E1020"/>
    <w:rsid w:val="006F3274"/>
    <w:rsid w:val="0072496B"/>
    <w:rsid w:val="00730057"/>
    <w:rsid w:val="00737E66"/>
    <w:rsid w:val="007425A8"/>
    <w:rsid w:val="007B33D5"/>
    <w:rsid w:val="007C14B7"/>
    <w:rsid w:val="00822A06"/>
    <w:rsid w:val="00833009"/>
    <w:rsid w:val="00833944"/>
    <w:rsid w:val="008347A7"/>
    <w:rsid w:val="0084579E"/>
    <w:rsid w:val="00846B76"/>
    <w:rsid w:val="00847911"/>
    <w:rsid w:val="00853D2D"/>
    <w:rsid w:val="008E3F19"/>
    <w:rsid w:val="00911FE4"/>
    <w:rsid w:val="0091528D"/>
    <w:rsid w:val="009166AB"/>
    <w:rsid w:val="00923512"/>
    <w:rsid w:val="00927822"/>
    <w:rsid w:val="0096608A"/>
    <w:rsid w:val="00993D35"/>
    <w:rsid w:val="009B66AB"/>
    <w:rsid w:val="00A004B6"/>
    <w:rsid w:val="00A216EE"/>
    <w:rsid w:val="00A4225D"/>
    <w:rsid w:val="00A503EE"/>
    <w:rsid w:val="00A621F6"/>
    <w:rsid w:val="00A63937"/>
    <w:rsid w:val="00A860B9"/>
    <w:rsid w:val="00AA6779"/>
    <w:rsid w:val="00AF245F"/>
    <w:rsid w:val="00B34657"/>
    <w:rsid w:val="00BC3FC7"/>
    <w:rsid w:val="00BD11DC"/>
    <w:rsid w:val="00BD6AAF"/>
    <w:rsid w:val="00BE6F9A"/>
    <w:rsid w:val="00C0192C"/>
    <w:rsid w:val="00C2785F"/>
    <w:rsid w:val="00C41F10"/>
    <w:rsid w:val="00C423DF"/>
    <w:rsid w:val="00C552E1"/>
    <w:rsid w:val="00C66009"/>
    <w:rsid w:val="00CA5E5A"/>
    <w:rsid w:val="00CB0875"/>
    <w:rsid w:val="00CB29A3"/>
    <w:rsid w:val="00CE60FC"/>
    <w:rsid w:val="00CE7718"/>
    <w:rsid w:val="00CF3BEA"/>
    <w:rsid w:val="00D73938"/>
    <w:rsid w:val="00D87C23"/>
    <w:rsid w:val="00E00278"/>
    <w:rsid w:val="00E21CBC"/>
    <w:rsid w:val="00E61365"/>
    <w:rsid w:val="00E84F58"/>
    <w:rsid w:val="00EA126C"/>
    <w:rsid w:val="00EE174C"/>
    <w:rsid w:val="00EE4364"/>
    <w:rsid w:val="00EF3821"/>
    <w:rsid w:val="00EF5643"/>
    <w:rsid w:val="00F041FA"/>
    <w:rsid w:val="00F149B3"/>
    <w:rsid w:val="00F25330"/>
    <w:rsid w:val="00F32C5D"/>
    <w:rsid w:val="00F33596"/>
    <w:rsid w:val="00F42CB2"/>
    <w:rsid w:val="00FD152C"/>
    <w:rsid w:val="00FD65F9"/>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B492"/>
  <w15:docId w15:val="{12D607D1-6A09-447D-97CD-9FE805B79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dz-BT"/>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rsid w:val="0072496B"/>
    <w:pPr>
      <w:spacing w:line="360" w:lineRule="auto"/>
      <w:jc w:val="both"/>
      <w:outlineLvl w:val="0"/>
    </w:pPr>
    <w:rPr>
      <w:rFonts w:ascii="Arial" w:hAnsi="Arial" w:cs="Arial"/>
      <w:b/>
      <w:bCs/>
    </w:rPr>
  </w:style>
  <w:style w:type="paragraph" w:styleId="Heading2">
    <w:name w:val="heading 2"/>
    <w:basedOn w:val="Normal"/>
    <w:uiPriority w:val="9"/>
    <w:unhideWhenUsed/>
    <w:qFormat/>
    <w:rsid w:val="005F01A3"/>
    <w:pPr>
      <w:spacing w:line="360" w:lineRule="auto"/>
      <w:jc w:val="both"/>
      <w:outlineLvl w:val="1"/>
    </w:pPr>
    <w:rPr>
      <w:rFonts w:ascii="Arial" w:hAnsi="Arial" w:cs="Arial"/>
      <w:b/>
      <w:bCs/>
    </w:rPr>
  </w:style>
  <w:style w:type="paragraph" w:styleId="Heading3">
    <w:name w:val="heading 3"/>
    <w:basedOn w:val="Normal"/>
    <w:uiPriority w:val="9"/>
    <w:unhideWhenUsed/>
    <w:qFormat/>
    <w:rsid w:val="008E3F19"/>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B083A"/>
    <w:rPr>
      <w:color w:val="605E5C"/>
      <w:shd w:val="clear" w:color="auto" w:fill="E1DFDD"/>
    </w:rPr>
  </w:style>
  <w:style w:type="character" w:styleId="FollowedHyperlink">
    <w:name w:val="FollowedHyperlink"/>
    <w:basedOn w:val="DefaultParagraphFont"/>
    <w:uiPriority w:val="99"/>
    <w:semiHidden/>
    <w:unhideWhenUsed/>
    <w:rsid w:val="001B083A"/>
    <w:rPr>
      <w:color w:val="96607D" w:themeColor="followedHyperlink"/>
      <w:u w:val="single"/>
    </w:rPr>
  </w:style>
  <w:style w:type="paragraph" w:styleId="NormalWeb">
    <w:name w:val="Normal (Web)"/>
    <w:basedOn w:val="Normal"/>
    <w:uiPriority w:val="99"/>
    <w:semiHidden/>
    <w:unhideWhenUsed/>
    <w:rsid w:val="0050647A"/>
    <w:rPr>
      <w:szCs w:val="34"/>
    </w:rPr>
  </w:style>
  <w:style w:type="paragraph" w:styleId="BodyText">
    <w:name w:val="Body Text"/>
    <w:basedOn w:val="Normal"/>
    <w:link w:val="BodyTextChar"/>
    <w:qFormat/>
    <w:rsid w:val="001A0AA1"/>
    <w:pPr>
      <w:spacing w:before="180" w:after="180"/>
    </w:pPr>
    <w:rPr>
      <w:rFonts w:asciiTheme="minorHAnsi" w:eastAsiaTheme="minorHAnsi" w:hAnsiTheme="minorHAnsi" w:cstheme="minorBidi"/>
      <w:lang w:val="en" w:bidi="ar-SA"/>
    </w:rPr>
  </w:style>
  <w:style w:type="character" w:customStyle="1" w:styleId="BodyTextChar">
    <w:name w:val="Body Text Char"/>
    <w:basedOn w:val="DefaultParagraphFont"/>
    <w:link w:val="BodyText"/>
    <w:rsid w:val="001A0AA1"/>
    <w:rPr>
      <w:rFonts w:asciiTheme="minorHAnsi" w:eastAsiaTheme="minorHAnsi" w:hAnsiTheme="minorHAnsi" w:cstheme="minorBidi"/>
      <w:lang w:val="en" w:bidi="ar-SA"/>
    </w:rPr>
  </w:style>
  <w:style w:type="paragraph" w:customStyle="1" w:styleId="FirstParagraph">
    <w:name w:val="First Paragraph"/>
    <w:basedOn w:val="BodyText"/>
    <w:next w:val="BodyText"/>
    <w:qFormat/>
    <w:rsid w:val="001A0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1365-2656.2008.01390.x" TargetMode="External"/><Relationship Id="rId18" Type="http://schemas.openxmlformats.org/officeDocument/2006/relationships/hyperlink" Target="https://doi.org/10.1007/BF02289694" TargetMode="External"/><Relationship Id="rId26" Type="http://schemas.openxmlformats.org/officeDocument/2006/relationships/hyperlink" Target="https://doi.org/10.1111/j.1461-0248.2004.00701.x" TargetMode="External"/><Relationship Id="rId39" Type="http://schemas.openxmlformats.org/officeDocument/2006/relationships/image" Target="media/image6.png"/><Relationship Id="rId21" Type="http://schemas.openxmlformats.org/officeDocument/2006/relationships/hyperlink" Target="https://doi.org/10.1111/j.1466-8238.2008.00443.x" TargetMode="External"/><Relationship Id="rId34" Type="http://schemas.openxmlformats.org/officeDocument/2006/relationships/image" Target="media/image1.png"/><Relationship Id="rId7" Type="http://schemas.openxmlformats.org/officeDocument/2006/relationships/hyperlink" Target="https://doi.org/10.1111/j.1442-9993.2001.01070.pp.x" TargetMode="External"/><Relationship Id="rId2" Type="http://schemas.openxmlformats.org/officeDocument/2006/relationships/styles" Target="styles.xml"/><Relationship Id="rId16" Type="http://schemas.openxmlformats.org/officeDocument/2006/relationships/hyperlink" Target="https://doi.org/10.1016/j.tree.2007.09.006" TargetMode="External"/><Relationship Id="rId20" Type="http://schemas.openxmlformats.org/officeDocument/2006/relationships/hyperlink" Target="https://doi.org/10.1046/j.1466-822X.2001.00229.x" TargetMode="External"/><Relationship Id="rId29" Type="http://schemas.openxmlformats.org/officeDocument/2006/relationships/hyperlink" Target="https://doi.org/10.1111/geb.1203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3390/rs12071156" TargetMode="External"/><Relationship Id="rId11" Type="http://schemas.openxmlformats.org/officeDocument/2006/relationships/hyperlink" Target="https://doi.org/10.1145/2939672.2939785" TargetMode="External"/><Relationship Id="rId24" Type="http://schemas.openxmlformats.org/officeDocument/2006/relationships/hyperlink" Target="https://doi.org/10.1016/0022-5193(66)90013-0" TargetMode="External"/><Relationship Id="rId32" Type="http://schemas.openxmlformats.org/officeDocument/2006/relationships/hyperlink" Target="https://doi.org/10.1007/s11258-006-9116-5" TargetMode="External"/><Relationship Id="rId37" Type="http://schemas.openxmlformats.org/officeDocument/2006/relationships/image" Target="media/image4.png"/><Relationship Id="rId40" Type="http://schemas.openxmlformats.org/officeDocument/2006/relationships/fontTable" Target="fontTable.xml"/><Relationship Id="rId5" Type="http://schemas.openxmlformats.org/officeDocument/2006/relationships/hyperlink" Target="https://doi.org/10.25919/pec2-hs50" TargetMode="External"/><Relationship Id="rId15" Type="http://schemas.openxmlformats.org/officeDocument/2006/relationships/hyperlink" Target="https://doi.org/10.1086/338542" TargetMode="External"/><Relationship Id="rId23" Type="http://schemas.openxmlformats.org/officeDocument/2006/relationships/hyperlink" Target="https://doi.org/10.1007/BF00044667" TargetMode="External"/><Relationship Id="rId28" Type="http://schemas.openxmlformats.org/officeDocument/2006/relationships/hyperlink" Target="https://doi.org/10.1038/163688a0" TargetMode="External"/><Relationship Id="rId36" Type="http://schemas.openxmlformats.org/officeDocument/2006/relationships/image" Target="media/image3.png"/><Relationship Id="rId10" Type="http://schemas.openxmlformats.org/officeDocument/2006/relationships/hyperlink" Target="https://doi.org/10.1023/A:1010933404324" TargetMode="External"/><Relationship Id="rId19" Type="http://schemas.openxmlformats.org/officeDocument/2006/relationships/hyperlink" Target="https://doi.org/10.1126/science.1156831" TargetMode="External"/><Relationship Id="rId31" Type="http://schemas.openxmlformats.org/officeDocument/2006/relationships/hyperlink" Target="https://doi.org/10.2307/1938672" TargetMode="External"/><Relationship Id="rId4" Type="http://schemas.openxmlformats.org/officeDocument/2006/relationships/webSettings" Target="webSettings.xml"/><Relationship Id="rId9" Type="http://schemas.openxmlformats.org/officeDocument/2006/relationships/hyperlink" Target="https://doi.org/10.2307/1942268" TargetMode="External"/><Relationship Id="rId14" Type="http://schemas.openxmlformats.org/officeDocument/2006/relationships/hyperlink" Target="https://doi.org/10.1641/B571007" TargetMode="External"/><Relationship Id="rId22" Type="http://schemas.openxmlformats.org/officeDocument/2006/relationships/hyperlink" Target="https://doi.org/10.1038/35002501" TargetMode="External"/><Relationship Id="rId27" Type="http://schemas.openxmlformats.org/officeDocument/2006/relationships/hyperlink" Target="https://doi.org/10.1002/j.1538-7305.1948.tb01338.x" TargetMode="External"/><Relationship Id="rId30" Type="http://schemas.openxmlformats.org/officeDocument/2006/relationships/hyperlink" Target="https://doi.org/10.1146/annurev-ecolsys-110512-135750" TargetMode="External"/><Relationship Id="rId35" Type="http://schemas.openxmlformats.org/officeDocument/2006/relationships/image" Target="media/image2.png"/><Relationship Id="rId8" Type="http://schemas.openxmlformats.org/officeDocument/2006/relationships/hyperlink" Target="https://doi.org/10.1029/2009JF001426" TargetMode="External"/><Relationship Id="rId3" Type="http://schemas.openxmlformats.org/officeDocument/2006/relationships/settings" Target="settings.xml"/><Relationship Id="rId12" Type="http://schemas.openxmlformats.org/officeDocument/2006/relationships/hyperlink" Target="https://doi.org/10.2307/2963459" TargetMode="External"/><Relationship Id="rId17" Type="http://schemas.openxmlformats.org/officeDocument/2006/relationships/hyperlink" Target="https://doi.org/10.1073/pnas.1413650112" TargetMode="External"/><Relationship Id="rId25" Type="http://schemas.openxmlformats.org/officeDocument/2006/relationships/hyperlink" Target="https://doi.org/10.1111/j.1461-0248.2004.00682.x" TargetMode="External"/><Relationship Id="rId33" Type="http://schemas.openxmlformats.org/officeDocument/2006/relationships/hyperlink" Target="https://doi.org/10.1016/j.foreco.2006.04.027" TargetMode="External"/><Relationship Id="rId3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314</TotalTime>
  <Pages>28</Pages>
  <Words>6725</Words>
  <Characters>44453</Characters>
  <Application>Microsoft Office Word</Application>
  <DocSecurity>0</DocSecurity>
  <Lines>889</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Wangdiues Wangdi</cp:lastModifiedBy>
  <cp:revision>294</cp:revision>
  <dcterms:created xsi:type="dcterms:W3CDTF">2026-02-06T13:29:00Z</dcterms:created>
  <dcterms:modified xsi:type="dcterms:W3CDTF">2026-02-12T04:05:00Z</dcterms:modified>
</cp:coreProperties>
</file>