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星舟编程学堂</w:t>
        <w:br/>
        <w:t>课程项目提交指南</w:t>
      </w:r>
    </w:p>
    <w:p>
      <w:r>
        <w:t>文档编号：XZ-008    生效日期：2026-09-01</w:t>
      </w:r>
    </w:p>
    <w:p>
      <w:r>
        <w:t>说明：本文描述虚构平台，仅用于 RAG 练习。项目文件要求是练习数据，证书条件仍以《学习流程、测验与证书》为准。</w:t>
      </w:r>
    </w:p>
    <w:p>
      <w:pPr>
        <w:pStyle w:val="Heading1"/>
      </w:pPr>
      <w:r>
        <w:t>一、三门课程的项目交付物</w:t>
      </w:r>
    </w:p>
    <w:p>
      <w:r>
        <w:t>PY101 和 WEB101 的项目资料用于自查或课程问答区求助；DA201 的项目需要提交审核。下表中的文件应使用有实际内容、能够打开的文件，不能只创建空文件占位。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58"/>
        <w:gridCol w:w="4365"/>
      </w:tblGrid>
      <w:tr>
        <w:trPr>
          <w:cantSplit/>
          <w:tblHeader/>
        </w:trPr>
        <w:tc>
          <w:tcPr>
            <w:tcW w:type="dxa" w:w="1814"/>
            <w:vAlign w:val="center"/>
            <w:shd w:fill="234763"/>
          </w:tcPr>
          <w:p>
            <w:pPr>
              <w:spacing w:before="80" w:after="80" w:line="288" w:lineRule="auto"/>
            </w:pPr>
            <w:r>
              <w:rPr>
                <w:b/>
                <w:color w:val="FFFFFF"/>
                <w:sz w:val="18"/>
              </w:rPr>
              <w:t>课程与项目</w:t>
            </w:r>
          </w:p>
        </w:tc>
        <w:tc>
          <w:tcPr>
            <w:tcW w:type="dxa" w:w="3458"/>
            <w:vAlign w:val="center"/>
            <w:shd w:fill="234763"/>
          </w:tcPr>
          <w:p>
            <w:pPr>
              <w:spacing w:before="80" w:after="80" w:line="288" w:lineRule="auto"/>
            </w:pPr>
            <w:r>
              <w:rPr>
                <w:b/>
                <w:color w:val="FFFFFF"/>
                <w:sz w:val="18"/>
              </w:rPr>
              <w:t>应整理的文件</w:t>
            </w:r>
          </w:p>
        </w:tc>
        <w:tc>
          <w:tcPr>
            <w:tcW w:type="dxa" w:w="4365"/>
            <w:vAlign w:val="center"/>
            <w:shd w:fill="234763"/>
          </w:tcPr>
          <w:p>
            <w:pPr>
              <w:spacing w:before="80" w:after="80" w:line="288" w:lineRule="auto"/>
            </w:pPr>
            <w:r>
              <w:rPr>
                <w:b/>
                <w:color w:val="FFFFFF"/>
                <w:sz w:val="18"/>
              </w:rPr>
              <w:t>用途与检查重点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80" w:after="80" w:line="288" w:lineRule="auto"/>
            </w:pPr>
            <w:r>
              <w:rPr>
                <w:sz w:val="18"/>
              </w:rPr>
              <w:t>PY101</w:t>
              <w:br/>
              <w:t>个人记账本</w:t>
            </w:r>
          </w:p>
        </w:tc>
        <w:tc>
          <w:tcPr>
            <w:tcW w:type="dxa" w:w="3458"/>
            <w:vAlign w:val="center"/>
          </w:tcPr>
          <w:p>
            <w:pPr>
              <w:spacing w:before="80" w:after="80" w:line="288" w:lineRule="auto"/>
            </w:pPr>
            <w:r>
              <w:rPr>
                <w:sz w:val="18"/>
              </w:rPr>
              <w:t>main.py、示例收支 CSV、按月汇总的结果 CSV、README.md。</w:t>
            </w:r>
          </w:p>
        </w:tc>
        <w:tc>
          <w:tcPr>
            <w:tcW w:type="dxa" w:w="4365"/>
            <w:vAlign w:val="center"/>
          </w:tcPr>
          <w:p>
            <w:pPr>
              <w:spacing w:before="80" w:after="80" w:line="288" w:lineRule="auto"/>
            </w:pPr>
            <w:r>
              <w:rPr>
                <w:sz w:val="18"/>
              </w:rPr>
              <w:t>README.md 说明运行方法和输入输出；检查是否能读取收支记录并保存汇总结果。项目不额外增加证书审核条件。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80" w:after="80" w:line="288" w:lineRule="auto"/>
            </w:pPr>
            <w:r>
              <w:rPr>
                <w:sz w:val="18"/>
              </w:rPr>
              <w:t>DA201</w:t>
              <w:br/>
              <w:t>咖啡店月度经营分析</w:t>
            </w:r>
          </w:p>
        </w:tc>
        <w:tc>
          <w:tcPr>
            <w:tcW w:type="dxa" w:w="3458"/>
            <w:vAlign w:val="center"/>
          </w:tcPr>
          <w:p>
            <w:pPr>
              <w:spacing w:before="80" w:after="80" w:line="288" w:lineRule="auto"/>
            </w:pPr>
            <w:r>
              <w:rPr>
                <w:sz w:val="18"/>
              </w:rPr>
              <w:t>analysis.ipynb、report.pdf、requirements.txt、README.md，四项均必需。</w:t>
            </w:r>
          </w:p>
        </w:tc>
        <w:tc>
          <w:tcPr>
            <w:tcW w:type="dxa" w:w="4365"/>
            <w:vAlign w:val="center"/>
          </w:tcPr>
          <w:p>
            <w:pPr>
              <w:spacing w:before="80" w:after="80" w:line="288" w:lineRule="auto"/>
            </w:pPr>
            <w:r>
              <w:rPr>
                <w:sz w:val="18"/>
              </w:rPr>
              <w:t>Notebook 保留运行结果，完成订单表与商品表的合并和销售额计算；PDF 报告解释主要结论。截图只能补充，不能替代必需文件。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80" w:after="80" w:line="288" w:lineRule="auto"/>
            </w:pPr>
            <w:r>
              <w:rPr>
                <w:sz w:val="18"/>
              </w:rPr>
              <w:t>WEB101</w:t>
              <w:br/>
              <w:t>个人作品展示站</w:t>
            </w:r>
          </w:p>
        </w:tc>
        <w:tc>
          <w:tcPr>
            <w:tcW w:type="dxa" w:w="3458"/>
            <w:vAlign w:val="center"/>
          </w:tcPr>
          <w:p>
            <w:pPr>
              <w:spacing w:before="80" w:after="80" w:line="288" w:lineRule="auto"/>
            </w:pPr>
            <w:r>
              <w:rPr>
                <w:sz w:val="18"/>
              </w:rPr>
              <w:t>index.html、页面引用的 CSS 和 JavaScript 文件、图片等静态资源、README.md。</w:t>
            </w:r>
          </w:p>
        </w:tc>
        <w:tc>
          <w:tcPr>
            <w:tcW w:type="dxa" w:w="4365"/>
            <w:vAlign w:val="center"/>
          </w:tcPr>
          <w:p>
            <w:pPr>
              <w:spacing w:before="80" w:after="80" w:line="288" w:lineRule="auto"/>
            </w:pPr>
            <w:r>
              <w:rPr>
                <w:sz w:val="18"/>
              </w:rPr>
              <w:t>README.md 说明本地打开方法；检查资源路径有效、页面能在浏览器打开。作品文件保存在自己的电脑上。</w:t>
            </w:r>
          </w:p>
        </w:tc>
      </w:tr>
    </w:tbl>
    <w:p>
      <w:pPr>
        <w:pStyle w:val="Heading1"/>
      </w:pPr>
      <w:r>
        <w:t>二、提交前自查</w:t>
      </w:r>
    </w:p>
    <w:p>
      <w:r>
        <w:t>1. 从项目文件夹重新运行代码，确认结果不是只存在于自己电脑的临时目录中。README.md 写明所用数据文件名、运行步骤和依赖安装方法。</w:t>
      </w:r>
    </w:p>
    <w:p>
      <w:r>
        <w:t>2. 使用课程提供的练习数据，不要把真实客户的个人信息放进项目或截图。路径和报错截图应遮盖与排查无关的敏感信息。</w:t>
      </w:r>
    </w:p>
    <w:p>
      <w:r>
        <w:t>3. DA201 应在本地运行并保存 Notebook 结果。PDF 报告应说明数据处理过程、销售额计算口径和主要发现，不能只放一张无解释的结果图。</w:t>
      </w:r>
    </w:p>
    <w:p>
      <w:r>
        <w:br w:type="page"/>
      </w:r>
    </w:p>
    <w:p>
      <w:pPr>
        <w:pStyle w:val="Heading1"/>
      </w:pPr>
      <w:r>
        <w:t>三、DA201 的打包与上传</w:t>
      </w:r>
    </w:p>
    <w:p>
      <w:r>
        <w:t>DA201 单次提交一个 ZIP 压缩包，大小不得超过 20 MB，20 MB 包含上限本身。压缩包命名为 DA201_学习编号_v1.zip；学习编号可在“学习档案”查看。修改后再次提交时，将版本号依次改为 v2、v3。</w:t>
      </w:r>
    </w:p>
    <w:p>
      <w:r>
        <w:t>压缩包内必须包含 analysis.ipynb、report.pdf、requirements.txt 和 README.md。可以补充图表文件，但截图不能替代 Notebook、PDF 报告或其他必需文件。</w:t>
      </w:r>
    </w:p>
    <w:p>
      <w:r>
        <w:t>无需重复打包平台提供的原始数据；README.md 中应注明使用的数据文件名。打包前移除缓存、虚拟环境目录和重复的数据副本，保留必要代码、报告及说明。</w:t>
      </w:r>
    </w:p>
    <w:p>
      <w:r>
        <w:t>进入 DA201 课程页的“项目提交”，上传 ZIP 并确认提交。仅把文件保存到本地或发到课程问答区不算完成项目提交。提交后在该页面查看版本号、提交时间和审核状态。提交时应拥有 DA201 的有效访问权限。</w:t>
      </w:r>
    </w:p>
    <w:p>
      <w:pPr>
        <w:pStyle w:val="Heading1"/>
      </w:pPr>
      <w:r>
        <w:t>四、审核与修改流程</w:t>
      </w:r>
    </w:p>
    <w:p>
      <w:r>
        <w:t>项目通常在提交后的 3 个工作日内完成审核。状态为“待审核”时表示尚未给出结果，不能据此认为已经通过。审核通过后会显示“已通过”；未通过时会显示需要修改的反馈。</w:t>
      </w:r>
    </w:p>
    <w:p>
      <w:r>
        <w:t>收到修改反馈后，应修改项目文件，在 README.md 追加本次修改说明，更新压缩包版本号，并通过原课程的“项目提交”页面重新提交。保留本地旧版本，便于对照反馈。</w:t>
      </w:r>
    </w:p>
    <w:p>
      <w:r>
        <w:t>项目提交或审核通过都不会自动发放证书。DA201 还需满足章节完成和结课测验条件，具体阈值见《学习流程、测验与证书》。PY101 和 WEB101 不因本指南新增项目审核门槛。</w:t>
      </w:r>
    </w:p>
    <w:p>
      <w:pPr>
        <w:pStyle w:val="Heading1"/>
      </w:pPr>
      <w:r>
        <w:t>五、遇到问题时如何求助</w:t>
      </w:r>
    </w:p>
    <w:p>
      <w:r>
        <w:t>代码、数据处理和项目要求问题，可在对应课程问答区提交最小可复现示例及报错信息；上传按钮不可用、登录或课程权限问题，联系平台客服。不要在公开问答内容中附上密码或完整支付信息。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课程项目提交指南  ·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星舟编程学堂  /  RAG 练习资料  /  XZ-008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Microsoft YaHei" w:hAnsi="Microsoft YaHei" w:eastAsia="微软雅黑"/>
      <w:b w:val="0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微软雅黑"/>
      <w:b w:val="0"/>
      <w:color w:val="63738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微软雅黑"/>
      <w:b w:val="0"/>
      <w:color w:val="637381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47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476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23476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星舟编程学堂：课程项目提交指南</dc:title>
  <dc:subject>虚构平台 RAG 练习资料，文档编号 XZ-008</dc:subject>
  <dc:creator>星舟编程学堂（虚构练习平台）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