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BBA3" w14:textId="5CB6BC66" w:rsidR="00480396" w:rsidRPr="00480396" w:rsidRDefault="00480396" w:rsidP="00480396">
      <w:pPr>
        <w:rPr>
          <w:u w:val="single"/>
        </w:rPr>
      </w:pPr>
      <w:r w:rsidRPr="00480396">
        <w:rPr>
          <w:u w:val="single"/>
        </w:rPr>
        <w:t>Market Trend Analysis</w:t>
      </w:r>
    </w:p>
    <w:p w14:paraId="1E8126B2" w14:textId="77777777" w:rsidR="00480396" w:rsidRDefault="00480396" w:rsidP="00480396">
      <w:r>
        <w:t>1. Business Case</w:t>
      </w:r>
    </w:p>
    <w:p w14:paraId="62E9534C" w14:textId="21BD88AC" w:rsidR="00480396" w:rsidRDefault="00480396" w:rsidP="00480396">
      <w:r w:rsidRPr="00480396">
        <w:rPr>
          <w:b/>
          <w:bCs/>
        </w:rPr>
        <w:t>Business Scenario</w:t>
      </w:r>
      <w:r>
        <w:t>: Strategic portfolio management for a diversified technology conglomerate facing resource allocation decisions across six industry verticals (AI, Retail, FinTech, Energy, HealthTech, Agri-Tech).</w:t>
      </w:r>
      <w:r>
        <w:t xml:space="preserve"> </w:t>
      </w:r>
    </w:p>
    <w:p w14:paraId="18EAB2F8" w14:textId="263F3BE4" w:rsidR="00480396" w:rsidRDefault="00480396" w:rsidP="00480396">
      <w:r w:rsidRPr="00FF367B">
        <w:t>Analysing market trends across six industries (AI, Retail, FinTech, Energy, HealthTech, Agri-Tech) to guide strategic product portfolio decisions.</w:t>
      </w:r>
    </w:p>
    <w:p w14:paraId="04E5C589" w14:textId="77777777" w:rsidR="003822F9" w:rsidRPr="003822F9" w:rsidRDefault="003822F9" w:rsidP="003822F9">
      <w:r w:rsidRPr="003822F9">
        <w:rPr>
          <w:highlight w:val="yellow"/>
        </w:rPr>
        <w:t>Government and product leaders (such as CPOs, VPs and strategic planners) need reliable insights on job market dynamics to make informed decisions about funding, policy prioritisation and program support.</w:t>
      </w:r>
    </w:p>
    <w:p w14:paraId="2DF1EF8E" w14:textId="77777777" w:rsidR="003822F9" w:rsidRDefault="003822F9" w:rsidP="00480396"/>
    <w:p w14:paraId="725C004E" w14:textId="13369693" w:rsidR="00480396" w:rsidRDefault="00480396" w:rsidP="00480396">
      <w:r w:rsidRPr="00480396">
        <w:rPr>
          <w:b/>
          <w:bCs/>
        </w:rPr>
        <w:t>Objective</w:t>
      </w:r>
      <w:r>
        <w:t>: Enable Strategic Planning teams to identify high-growth industry segments and make evidence-based capital allocation decisions—determining which product portfolios to scale, maintain, or sunset based on quantified market growth trajectories and revenue potential.</w:t>
      </w:r>
    </w:p>
    <w:p w14:paraId="4E849B8F" w14:textId="501002CB" w:rsidR="00480396" w:rsidRDefault="003822F9" w:rsidP="00480396">
      <w:r w:rsidRPr="003822F9">
        <w:rPr>
          <w:highlight w:val="yellow"/>
        </w:rPr>
        <w:t>Provide a data-driven view of industry demand and talent market trends to identify high-growth sectors and areas of declining opportunity, supporting decisions on where to invest or sunset products and initiatives</w:t>
      </w:r>
      <w:r w:rsidRPr="003822F9">
        <w:rPr>
          <w:highlight w:val="yellow"/>
        </w:rPr>
        <w:t>.</w:t>
      </w:r>
    </w:p>
    <w:p w14:paraId="0631F63B" w14:textId="77777777" w:rsidR="003822F9" w:rsidRDefault="003822F9" w:rsidP="00480396"/>
    <w:p w14:paraId="50509417" w14:textId="6BE7D710" w:rsidR="00480396" w:rsidRDefault="00480396" w:rsidP="00480396">
      <w:r w:rsidRPr="00480396">
        <w:rPr>
          <w:b/>
          <w:bCs/>
        </w:rPr>
        <w:t>Target Users &amp; Value</w:t>
      </w:r>
      <w:r>
        <w:t>: Executives and strategists use this analysis to maximize ROI by redirecting 30–40% of resources from low-growth segments (e.g., Healthcare Devices at 2%) toward explosive-growth markets (Enterprise AI at 46%, E-Commerce at 24%), reducing opportunity cost and strategic risk through data-driven investment prioritization.</w:t>
      </w:r>
    </w:p>
    <w:p w14:paraId="4266CC11" w14:textId="77777777" w:rsidR="003822F9" w:rsidRPr="003822F9" w:rsidRDefault="003822F9" w:rsidP="003822F9">
      <w:r w:rsidRPr="003822F9">
        <w:rPr>
          <w:highlight w:val="yellow"/>
        </w:rPr>
        <w:t>Provide a data-driven view of industry demand and talent market trends to identify high-growth sectors and areas of declining opportunity, supporting decisions on where to invest or sunset products and initiatives.</w:t>
      </w:r>
    </w:p>
    <w:p w14:paraId="5E6055E0" w14:textId="77777777" w:rsidR="003822F9" w:rsidRDefault="003822F9" w:rsidP="00480396"/>
    <w:p w14:paraId="553D2F69" w14:textId="77777777" w:rsidR="00480396" w:rsidRDefault="00480396" w:rsidP="00480396">
      <w:r>
        <w:t xml:space="preserve">2. </w:t>
      </w:r>
      <w:r w:rsidRPr="00480396">
        <w:rPr>
          <w:b/>
          <w:bCs/>
        </w:rPr>
        <w:t>Data Handling &amp; Process</w:t>
      </w:r>
    </w:p>
    <w:p w14:paraId="2750B63F" w14:textId="7EB1F4F7" w:rsidR="00480396" w:rsidRDefault="00480396" w:rsidP="00480396">
      <w:r>
        <w:t>• Tools &amp; Data Source: Analysis built on structured industry market data (revenue, growth rates, and market size metrics) across six sectors spanning 2018–2022; generated via Python scripting (referenced in create_presentation.py and simple_pptx.py), using Pandas for aggregation and transformation.</w:t>
      </w:r>
    </w:p>
    <w:p w14:paraId="5E6C6654" w14:textId="77777777" w:rsidR="00480396" w:rsidRDefault="00480396" w:rsidP="00480396"/>
    <w:p w14:paraId="7F9E7D61" w14:textId="77777777" w:rsidR="00480396" w:rsidRDefault="00480396" w:rsidP="00480396">
      <w:r>
        <w:lastRenderedPageBreak/>
        <w:t>• Data Loading &amp; Preparation: Six industries tracked with consistent metrics: annual revenue (2018–2022), 2022 growth rates (%), and market size expansion (% growth). Data normalized to support year-over-year comparison and growth rate calculations.</w:t>
      </w:r>
    </w:p>
    <w:p w14:paraId="7E3CDC69" w14:textId="77777777" w:rsidR="00480396" w:rsidRDefault="00480396" w:rsidP="00480396"/>
    <w:p w14:paraId="7FE090D1" w14:textId="77777777" w:rsidR="00480396" w:rsidRDefault="00480396" w:rsidP="00480396">
      <w:r>
        <w:t>• Key Cleaning &amp; Standardization: Growth rates standardized as percentages (0–50% range); revenue figures normalized (likely in millions); market size indexed as percentage expansion to enable cross-industry comparison despite vastly different absolute scales.</w:t>
      </w:r>
    </w:p>
    <w:p w14:paraId="652098AF" w14:textId="77777777" w:rsidR="00480396" w:rsidRDefault="00480396" w:rsidP="00480396"/>
    <w:p w14:paraId="2E8E6E08" w14:textId="77777777" w:rsidR="00480396" w:rsidRDefault="00480396" w:rsidP="00480396">
      <w:r>
        <w:t>• Feature Engineering: Calculated multi-year compound growth rates; categorized industries into three tiers: High-Growth (AI 46%, Energy 35%), Moderate-Growth (Retail 24%, FinTech 21%, Agri-Tech 36%), and Low-Growth (HealthTech 14.5%); computed revenue trajectory velocity to identify acceleration/deceleration patterns.</w:t>
      </w:r>
    </w:p>
    <w:p w14:paraId="291FF76F" w14:textId="77777777" w:rsidR="00480396" w:rsidRDefault="00480396" w:rsidP="00480396"/>
    <w:p w14:paraId="4A641E96" w14:textId="77777777" w:rsidR="00480396" w:rsidRDefault="00480396" w:rsidP="00480396">
      <w:r>
        <w:t>• EDA Highlights: Discovered AI dominates in growth velocity (46%) despite lower absolute revenue (2018: $90M), while Retail maintains steady volume with 300M+ revenue base; Energy shows 240% market expansion with 35% growth—positioning it as high-growth with scale. HealthTech emerging as sunset candidate (2% growth, declining relative performance). These insights directly shaped three-chart strategy and sunset recommendations.</w:t>
      </w:r>
    </w:p>
    <w:p w14:paraId="7DF64258" w14:textId="77777777" w:rsidR="00480396" w:rsidRDefault="00480396" w:rsidP="00480396"/>
    <w:p w14:paraId="6B5C32B6" w14:textId="77777777" w:rsidR="00480396" w:rsidRDefault="00480396" w:rsidP="00480396">
      <w:r w:rsidRPr="00F87D65">
        <w:rPr>
          <w:b/>
          <w:bCs/>
        </w:rPr>
        <w:t>3. Dashboard</w:t>
      </w:r>
      <w:r w:rsidRPr="00480396">
        <w:rPr>
          <w:b/>
          <w:bCs/>
        </w:rPr>
        <w:t xml:space="preserve"> / App</w:t>
      </w:r>
    </w:p>
    <w:p w14:paraId="0C40D9C8" w14:textId="77777777" w:rsidR="00480396" w:rsidRDefault="00480396" w:rsidP="00480396">
      <w:r w:rsidRPr="00FF367B">
        <w:rPr>
          <w:b/>
          <w:bCs/>
        </w:rPr>
        <w:t>Data Insights</w:t>
      </w:r>
      <w:r w:rsidRPr="00FF367B">
        <w:t>: AI and Energy showing highest growth potential (46% and 35%) Retail strong revenue trajectory (300→620M across 5 years) Market expansion potential of 300%+ across segments Recommends 30-40% resource reallocation to high-growth areas</w:t>
      </w:r>
    </w:p>
    <w:p w14:paraId="49B610B0" w14:textId="77777777" w:rsidR="00F87D65" w:rsidRDefault="003822F9" w:rsidP="003822F9">
      <w:r>
        <w:t>• Solution Type: Interactive HTML5 single-page presentation (SPA) with embedded Chart.js visualizations; provides slide-based narrative flow combined with dynamic, client-side rendered charts—optimized for executive boardroom and strategic review sessions</w:t>
      </w:r>
      <w:r>
        <w:t xml:space="preserve"> </w:t>
      </w:r>
    </w:p>
    <w:p w14:paraId="00F6988D" w14:textId="079F8691" w:rsidR="003822F9" w:rsidRDefault="003822F9" w:rsidP="003822F9">
      <w:r>
        <w:t>(</w:t>
      </w:r>
      <w:r w:rsidR="00F87D65">
        <w:t>R</w:t>
      </w:r>
      <w:r>
        <w:t>efer to Annex A for dashboard walkthrough)</w:t>
      </w:r>
    </w:p>
    <w:p w14:paraId="5F2AC69B" w14:textId="7CB8CC3D" w:rsidR="003822F9" w:rsidRDefault="0096242D" w:rsidP="003822F9">
      <w:r>
        <w:br w:type="page"/>
      </w:r>
    </w:p>
    <w:p w14:paraId="03813946" w14:textId="77777777" w:rsidR="0096242D" w:rsidRPr="003822F9" w:rsidRDefault="0096242D" w:rsidP="0096242D">
      <w:pPr>
        <w:rPr>
          <w:b/>
          <w:bCs/>
        </w:rPr>
      </w:pPr>
      <w:r w:rsidRPr="003822F9">
        <w:rPr>
          <w:b/>
          <w:bCs/>
        </w:rPr>
        <w:lastRenderedPageBreak/>
        <w:t>Success Criteria</w:t>
      </w:r>
      <w:r>
        <w:rPr>
          <w:b/>
          <w:bCs/>
        </w:rPr>
        <w:t>:</w:t>
      </w:r>
    </w:p>
    <w:p w14:paraId="0F7EE7DC" w14:textId="77777777" w:rsidR="0096242D" w:rsidRPr="003822F9" w:rsidRDefault="0096242D" w:rsidP="0096242D">
      <w:pPr>
        <w:pStyle w:val="ListParagraph"/>
        <w:numPr>
          <w:ilvl w:val="0"/>
          <w:numId w:val="1"/>
        </w:numPr>
      </w:pPr>
      <w:r w:rsidRPr="003822F9">
        <w:rPr>
          <w:b/>
          <w:bCs/>
        </w:rPr>
        <w:t>Decision impact</w:t>
      </w:r>
      <w:r w:rsidRPr="003822F9">
        <w:br/>
        <w:t>The dashboard enables leaders to confidently prioritise high-growth industries and deprioritise declining sectors based on clear demand signals from job posting trends, rather than intuition or fragmented reports.</w:t>
      </w:r>
    </w:p>
    <w:p w14:paraId="12919A96" w14:textId="77777777" w:rsidR="0096242D" w:rsidRPr="003822F9" w:rsidRDefault="0096242D" w:rsidP="0096242D">
      <w:pPr>
        <w:pStyle w:val="ListParagraph"/>
        <w:numPr>
          <w:ilvl w:val="0"/>
          <w:numId w:val="1"/>
        </w:numPr>
      </w:pPr>
      <w:r w:rsidRPr="003822F9">
        <w:rPr>
          <w:b/>
          <w:bCs/>
        </w:rPr>
        <w:t>Actionable insights</w:t>
      </w:r>
      <w:r w:rsidRPr="003822F9">
        <w:br/>
        <w:t>Users can identify emerging roles, in-demand skills and fast-growing sectors within seconds, turning raw job posting data into clear strategic insights that directly inform funding, policy and product investment decisions.</w:t>
      </w:r>
    </w:p>
    <w:p w14:paraId="76E43582" w14:textId="77777777" w:rsidR="0096242D" w:rsidRPr="003822F9" w:rsidRDefault="0096242D" w:rsidP="0096242D">
      <w:pPr>
        <w:pStyle w:val="ListParagraph"/>
        <w:numPr>
          <w:ilvl w:val="0"/>
          <w:numId w:val="1"/>
        </w:numPr>
      </w:pPr>
      <w:r w:rsidRPr="003822F9">
        <w:rPr>
          <w:b/>
          <w:bCs/>
        </w:rPr>
        <w:t>Resource efficiency</w:t>
      </w:r>
      <w:r w:rsidRPr="003822F9">
        <w:br/>
        <w:t>The tool reduces time and cost spent on manual market analysis by providing automated trend detection, industry comparisons and growth indicators, supporting faster and better resource allocation.</w:t>
      </w:r>
    </w:p>
    <w:p w14:paraId="2BE5A996" w14:textId="77777777" w:rsidR="0096242D" w:rsidRPr="003822F9" w:rsidRDefault="0096242D" w:rsidP="0096242D">
      <w:pPr>
        <w:pStyle w:val="ListParagraph"/>
        <w:numPr>
          <w:ilvl w:val="0"/>
          <w:numId w:val="1"/>
        </w:numPr>
      </w:pPr>
      <w:r w:rsidRPr="003822F9">
        <w:rPr>
          <w:b/>
          <w:bCs/>
        </w:rPr>
        <w:t>Adoption and usability</w:t>
      </w:r>
      <w:r w:rsidRPr="003822F9">
        <w:br/>
        <w:t xml:space="preserve">Target users can easily navigate the dashboard, interpret trends without technical knowledge, and integrate insights into planning workflows, indicating the product is usable, trusted and </w:t>
      </w:r>
      <w:proofErr w:type="gramStart"/>
      <w:r w:rsidRPr="003822F9">
        <w:t>decision-ready</w:t>
      </w:r>
      <w:proofErr w:type="gramEnd"/>
      <w:r w:rsidRPr="003822F9">
        <w:t>.</w:t>
      </w:r>
    </w:p>
    <w:p w14:paraId="24A7AA33" w14:textId="77777777" w:rsidR="0096242D" w:rsidRDefault="0096242D" w:rsidP="0096242D">
      <w:pPr>
        <w:pStyle w:val="ListParagraph"/>
        <w:numPr>
          <w:ilvl w:val="0"/>
          <w:numId w:val="1"/>
        </w:numPr>
      </w:pPr>
      <w:r w:rsidRPr="003822F9">
        <w:rPr>
          <w:b/>
          <w:bCs/>
        </w:rPr>
        <w:t>Data reliability</w:t>
      </w:r>
      <w:r w:rsidRPr="003822F9">
        <w:br/>
        <w:t>Insights are consistent, reproducible and explainable, ensuring trust in the outputs and confidence in using the analysis for high-stakes strategic decisions.</w:t>
      </w:r>
    </w:p>
    <w:p w14:paraId="028D584D" w14:textId="77777777" w:rsidR="0096242D" w:rsidRDefault="0096242D" w:rsidP="003822F9"/>
    <w:p w14:paraId="4159A1CB" w14:textId="755A9DE9" w:rsidR="0025366D" w:rsidRPr="003822F9" w:rsidRDefault="0025366D" w:rsidP="0025366D">
      <w:pPr>
        <w:rPr>
          <w:b/>
          <w:bCs/>
        </w:rPr>
      </w:pPr>
      <w:r w:rsidRPr="003822F9">
        <w:rPr>
          <w:b/>
          <w:bCs/>
        </w:rPr>
        <w:t xml:space="preserve">4. </w:t>
      </w:r>
      <w:r>
        <w:rPr>
          <w:b/>
          <w:bCs/>
        </w:rPr>
        <w:t>Analysis</w:t>
      </w:r>
      <w:r w:rsidRPr="003822F9">
        <w:rPr>
          <w:b/>
          <w:bCs/>
        </w:rPr>
        <w:t xml:space="preserve">: </w:t>
      </w:r>
    </w:p>
    <w:p w14:paraId="032AE4D0" w14:textId="783260F9" w:rsidR="0025366D" w:rsidRDefault="00AD5253" w:rsidP="003822F9">
      <w:r>
        <w:t>TBA</w:t>
      </w:r>
    </w:p>
    <w:p w14:paraId="425F7BD3" w14:textId="77777777" w:rsidR="0025366D" w:rsidRDefault="0025366D" w:rsidP="003822F9"/>
    <w:p w14:paraId="3B360C81" w14:textId="6ED935B1" w:rsidR="003822F9" w:rsidRPr="003822F9" w:rsidRDefault="0025366D" w:rsidP="00480396">
      <w:pPr>
        <w:rPr>
          <w:b/>
          <w:bCs/>
        </w:rPr>
      </w:pPr>
      <w:r>
        <w:rPr>
          <w:b/>
          <w:bCs/>
        </w:rPr>
        <w:t>5</w:t>
      </w:r>
      <w:r w:rsidR="003822F9" w:rsidRPr="003822F9">
        <w:rPr>
          <w:b/>
          <w:bCs/>
        </w:rPr>
        <w:t xml:space="preserve">. Challenges: </w:t>
      </w:r>
    </w:p>
    <w:p w14:paraId="4E0B218D" w14:textId="77777777" w:rsidR="003822F9" w:rsidRDefault="003822F9" w:rsidP="00480396">
      <w:r w:rsidRPr="003822F9">
        <w:t xml:space="preserve">Analysis assumes stable market conditions; doesn't account for macroeconomic shocks (recession, interest rate hikes, geopolitical disruption) that could flip AI/Retail dynamics in months. Emerging technologies (e.g., quantum computing, synthetic biology) not represented; may disrupt entire industry rankings unexpectedly. </w:t>
      </w:r>
    </w:p>
    <w:p w14:paraId="20C8B835" w14:textId="77777777" w:rsidR="003822F9" w:rsidRDefault="003822F9" w:rsidP="00480396">
      <w:r w:rsidRPr="003822F9">
        <w:t xml:space="preserve">Regulatory </w:t>
      </w:r>
      <w:proofErr w:type="spellStart"/>
      <w:r w:rsidRPr="003822F9">
        <w:t>blindspots</w:t>
      </w:r>
      <w:proofErr w:type="spellEnd"/>
      <w:r w:rsidRPr="003822F9">
        <w:t xml:space="preserve">: AI faces EU/US regulation (2024–2026); FinTech undergoing Basel IV compliance; Energy faces carbon tax risk—growth forecasts may not survive regulatory change. </w:t>
      </w:r>
    </w:p>
    <w:p w14:paraId="7E33687C" w14:textId="77777777" w:rsidR="0096242D" w:rsidRDefault="0096242D" w:rsidP="00480396"/>
    <w:p w14:paraId="4F8712F2" w14:textId="1C13058D" w:rsidR="003822F9" w:rsidRPr="003822F9" w:rsidRDefault="003822F9" w:rsidP="00480396">
      <w:pPr>
        <w:rPr>
          <w:b/>
          <w:bCs/>
        </w:rPr>
      </w:pPr>
      <w:r w:rsidRPr="003822F9">
        <w:rPr>
          <w:b/>
          <w:bCs/>
        </w:rPr>
        <w:t>Mitigation Steps:</w:t>
      </w:r>
    </w:p>
    <w:p w14:paraId="253986BF" w14:textId="77777777" w:rsidR="00F87D65" w:rsidRDefault="003822F9" w:rsidP="00480396">
      <w:r w:rsidRPr="003822F9">
        <w:t xml:space="preserve">Add scenario </w:t>
      </w:r>
      <w:proofErr w:type="spellStart"/>
      <w:r w:rsidRPr="003822F9">
        <w:t>modeling</w:t>
      </w:r>
      <w:proofErr w:type="spellEnd"/>
      <w:r w:rsidRPr="003822F9">
        <w:t xml:space="preserve">: Include "Bear Case" (recession, regulation), "Base Case" (current analysis), "Bull Case" (AI boom, deregulation). Conduct quarterly horizon scan: </w:t>
      </w:r>
    </w:p>
    <w:p w14:paraId="6442FEC2" w14:textId="4FA5C313" w:rsidR="003822F9" w:rsidRDefault="003822F9" w:rsidP="00480396">
      <w:r w:rsidRPr="003822F9">
        <w:lastRenderedPageBreak/>
        <w:t xml:space="preserve">Scan emerging tech, regulatory, and M&amp;A signals; flag if assumptions broken; trigger re-analysis if &gt;5% growth rate change. </w:t>
      </w:r>
    </w:p>
    <w:p w14:paraId="3B30F869" w14:textId="0704F54B" w:rsidR="003822F9" w:rsidRPr="00FF367B" w:rsidRDefault="003822F9" w:rsidP="00480396">
      <w:r w:rsidRPr="003822F9">
        <w:t xml:space="preserve">Build flexibility into resource plans: Avoid irreversible headcount cuts; </w:t>
      </w:r>
      <w:proofErr w:type="spellStart"/>
      <w:r w:rsidRPr="003822F9">
        <w:t>favor</w:t>
      </w:r>
      <w:proofErr w:type="spellEnd"/>
      <w:r w:rsidRPr="003822F9">
        <w:t xml:space="preserve"> reversible moves (hiring freeze, contractor ramp-down) in high-uncertainty segments. Monitor leading indicators: Set up dashboard tracking early-stage signals (hiring trends, patent filings, funding flows by industry) to detect shifts before trailing revenue data shows them.</w:t>
      </w:r>
    </w:p>
    <w:p w14:paraId="5A1FAF82" w14:textId="0C9CF6E8" w:rsidR="0096242D" w:rsidRDefault="0096242D" w:rsidP="00480396">
      <w:r>
        <w:br w:type="page"/>
      </w:r>
    </w:p>
    <w:p w14:paraId="2EAF38FD" w14:textId="4759776E" w:rsidR="003822F9" w:rsidRPr="0096242D" w:rsidRDefault="003822F9" w:rsidP="00480396">
      <w:pPr>
        <w:rPr>
          <w:b/>
          <w:bCs/>
          <w:sz w:val="32"/>
          <w:szCs w:val="32"/>
          <w:u w:val="single"/>
        </w:rPr>
      </w:pPr>
      <w:r w:rsidRPr="0096242D">
        <w:rPr>
          <w:b/>
          <w:bCs/>
          <w:sz w:val="32"/>
          <w:szCs w:val="32"/>
          <w:u w:val="single"/>
        </w:rPr>
        <w:lastRenderedPageBreak/>
        <w:t>Annex A</w:t>
      </w:r>
    </w:p>
    <w:p w14:paraId="3C3D12C7" w14:textId="7F9B6C48" w:rsidR="00480396" w:rsidRDefault="00480396" w:rsidP="00480396">
      <w:r>
        <w:t xml:space="preserve">• </w:t>
      </w:r>
      <w:r w:rsidR="003822F9">
        <w:t>Dashboard Walkthrough</w:t>
      </w:r>
      <w:r>
        <w:t>:</w:t>
      </w:r>
    </w:p>
    <w:p w14:paraId="0E0642A6" w14:textId="77777777" w:rsidR="00480396" w:rsidRDefault="00480396" w:rsidP="00480396">
      <w:r>
        <w:t>Slide 1–3 (Context): Title, business objective, target users, and value proposition frame the strategic decision.</w:t>
      </w:r>
    </w:p>
    <w:p w14:paraId="2137926E" w14:textId="77777777" w:rsidR="00480396" w:rsidRDefault="00480396" w:rsidP="00480396">
      <w:r>
        <w:t>Slide 4 (Growth Rates Bar Chart): Horizontal bar chart ranks industries by 2022 growth %; blue bars highlight &gt;35% performers (AI, Energy), orange for lower-growth segments.</w:t>
      </w:r>
    </w:p>
    <w:p w14:paraId="6BF93B4F" w14:textId="77777777" w:rsidR="00480396" w:rsidRDefault="00480396" w:rsidP="00480396">
      <w:r>
        <w:t>Slide 5 (Revenue Trends): Multi-line chart showing 2018–2022 revenue trajectory for all six industries; reveals Retail's stable high volume, AI's explosive acceleration, HealthTech's stagnation.</w:t>
      </w:r>
    </w:p>
    <w:p w14:paraId="53652C20" w14:textId="77777777" w:rsidR="00480396" w:rsidRDefault="00480396" w:rsidP="00480396">
      <w:r>
        <w:t>Slide 6 (Market Size Expansion): Horizontal bar chart displaying 2018–2022 market growth percentages; AI (300%), Energy (240%), Agri (133%) visualized in blue; lower-growth segments in orange.</w:t>
      </w:r>
    </w:p>
    <w:p w14:paraId="6B5AAD27" w14:textId="77777777" w:rsidR="00480396" w:rsidRDefault="00480396" w:rsidP="00480396">
      <w:r>
        <w:t>Slides 7–9 (Recommendations &amp; Action): Strategic recommendations (scale AI/Retail, sunset HealthTech), summary, and actionable next steps (30-40% reallocation, 30-day executive review, quarterly dashboard).</w:t>
      </w:r>
    </w:p>
    <w:p w14:paraId="15BD6A3E" w14:textId="77777777" w:rsidR="00480396" w:rsidRDefault="00480396" w:rsidP="00480396"/>
    <w:p w14:paraId="1EA197FB" w14:textId="77777777" w:rsidR="00480396" w:rsidRDefault="00480396" w:rsidP="00480396">
      <w:r>
        <w:t>Growth chart → "Which industries are accelerating?" → AI, Energy emerge as priorities.</w:t>
      </w:r>
    </w:p>
    <w:p w14:paraId="3850284A" w14:textId="77777777" w:rsidR="00480396" w:rsidRDefault="00480396" w:rsidP="00480396">
      <w:r>
        <w:t>Revenue trends → "Which have market scale?" → Retail, FinTech, AI show sustainability.</w:t>
      </w:r>
    </w:p>
    <w:p w14:paraId="762669E2" w14:textId="77777777" w:rsidR="00480396" w:rsidRDefault="00480396" w:rsidP="00480396">
      <w:r>
        <w:t>Market expansion → "What's the addressable opportunity?" → AI's 300% expansion justifies capital concentration.</w:t>
      </w:r>
    </w:p>
    <w:p w14:paraId="01B08B8C" w14:textId="7043BE58" w:rsidR="00AD3979" w:rsidRDefault="00480396" w:rsidP="00480396">
      <w:r>
        <w:t>Recommendations slide → "What action?" → 30–40% reallocation, sunset HealthTech.</w:t>
      </w:r>
    </w:p>
    <w:sectPr w:rsidR="00AD3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210A0"/>
    <w:multiLevelType w:val="hybridMultilevel"/>
    <w:tmpl w:val="5C905D32"/>
    <w:lvl w:ilvl="0" w:tplc="2168F35A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8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96"/>
    <w:rsid w:val="0025366D"/>
    <w:rsid w:val="003822F9"/>
    <w:rsid w:val="00480396"/>
    <w:rsid w:val="00550170"/>
    <w:rsid w:val="00855393"/>
    <w:rsid w:val="00891ADC"/>
    <w:rsid w:val="0096242D"/>
    <w:rsid w:val="00AD3979"/>
    <w:rsid w:val="00AD5253"/>
    <w:rsid w:val="00D525DC"/>
    <w:rsid w:val="00F8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CEF7"/>
  <w15:chartTrackingRefBased/>
  <w15:docId w15:val="{1CAE6FEC-78E3-480E-AE3E-82DA8324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66D"/>
  </w:style>
  <w:style w:type="paragraph" w:styleId="Heading1">
    <w:name w:val="heading 1"/>
    <w:basedOn w:val="Normal"/>
    <w:next w:val="Normal"/>
    <w:link w:val="Heading1Char"/>
    <w:uiPriority w:val="9"/>
    <w:qFormat/>
    <w:rsid w:val="00480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Javan Law</dc:creator>
  <cp:keywords/>
  <dc:description/>
  <cp:lastModifiedBy>Javan Law</cp:lastModifiedBy>
  <cp:revision>2</cp:revision>
  <dcterms:created xsi:type="dcterms:W3CDTF">2026-02-11T04:50:00Z</dcterms:created>
  <dcterms:modified xsi:type="dcterms:W3CDTF">2026-02-11T04:50:00Z</dcterms:modified>
</cp:coreProperties>
</file>