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AF0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核心汇报：自营低价策略瓶颈分析与破局路径</w:t>
      </w:r>
    </w:p>
    <w:p w14:paraId="55F498C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一、 现状洞察：低价“虹吸效应”未达预期</w:t>
      </w:r>
    </w:p>
    <w:p w14:paraId="6B57B8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数据穿透显示，目前的“低价标签”并未在存量博弈中展现出绝对的统治力：</w:t>
      </w:r>
    </w:p>
    <w:p w14:paraId="3E5A2C8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1003300"/>
            <wp:effectExtent l="0" t="0" r="698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A4351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份额错位：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T700 核心品中，虽然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58%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的主码已打标，但打标 SKU 仅贡献了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27%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的 GMV。</w:t>
      </w:r>
    </w:p>
    <w:p w14:paraId="5B381A4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虹吸失灵：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理论上的“零和博弈”未发生，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&gt;70%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的订单流向了非低价 SKU。</w:t>
      </w:r>
    </w:p>
    <w:p w14:paraId="62F9F28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活跃衰减：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卷价次数提升进入瓶颈期，增长动力匮乏。</w:t>
      </w:r>
    </w:p>
    <w:p w14:paraId="363B5C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二、 问题诊断：三大“断裂”阻碍心智形成</w:t>
      </w:r>
    </w:p>
    <w:p w14:paraId="41DE1F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 价格效能断裂（为什么最便宜的卖不动？）</w:t>
      </w:r>
    </w:p>
    <w:p w14:paraId="33B4E3B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地理时效障碍（属地化瓶颈）：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异地低价受限于运费和时效，无法抵消属地稍贵商品的“快”优势。目前的比价逻辑未完全对齐收货地，导致低价“看得见、买不划算”。</w:t>
      </w:r>
    </w:p>
    <w:p w14:paraId="107A91C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价格优势不明显：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部分低价品仅是“数字上的最低”，由于商家卷价意愿不强，未形成具备“体感差”的绝对价格优势。</w:t>
      </w:r>
    </w:p>
    <w:p w14:paraId="7B60F3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 商家动力断裂（为什么商家不愿卷？）</w:t>
      </w:r>
    </w:p>
    <w:p w14:paraId="581E0E5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获益感知弱：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低价份额仅 27%，商家付出了利润却未换回规模，陷入“割肉无声”的负反馈。</w:t>
      </w:r>
    </w:p>
    <w:p w14:paraId="1D25907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信息触达窄：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仅触达二、三名商家，大量潜在意愿商家因信息不对称（不知道卷多少、怎么卷）处于围观状态。</w:t>
      </w:r>
    </w:p>
    <w:p w14:paraId="73E775C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运营成本高：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缺乏自动化工具，逐条人工确认调价的操作成本极大压抑了响应速度。</w:t>
      </w:r>
    </w:p>
    <w:p w14:paraId="3D254D8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三、 行动策略：三维协同破局</w:t>
      </w:r>
    </w:p>
    <w:p w14:paraId="635A4C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 商家端：从“人工告知”到“策略自动化”</w:t>
      </w:r>
    </w:p>
    <w:p w14:paraId="4161524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利益透明化：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全量透出低价份额增长数据，通过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标杆案例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强化“低价=规模”的收益预期。</w:t>
      </w:r>
    </w:p>
    <w:p w14:paraId="1DE81F2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扩大触达面：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推送范围覆盖全量商家，明确调价目标价，消除信息盲区。</w:t>
      </w:r>
    </w:p>
    <w:p w14:paraId="2577E9F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工具提效：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上线**“一键/自动跟价”**功能，支持商家设定阈值后系统秒级响应，降低操作门槛。</w:t>
      </w:r>
    </w:p>
    <w:p w14:paraId="7133CD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 用户端：从“弱曝光”到“强心智”</w:t>
      </w:r>
    </w:p>
    <w:p w14:paraId="1069630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转化路径前置：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在搜索、详情、购物车等核心决策环节，对低价品进行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置顶/强插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引导。</w:t>
      </w:r>
    </w:p>
    <w:p w14:paraId="560E7B5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官方加码：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低价打标品自动关联“官方补贴”，通过**“商家卷+平台补”**形成足以击穿买家心理预期的价差。</w:t>
      </w:r>
    </w:p>
    <w:p w14:paraId="69A9AD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 考核端：从“卷动作”到“卷结果”</w:t>
      </w:r>
    </w:p>
    <w:p w14:paraId="65036C2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指标重构：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考核重心由“调价次数”转向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“自营低价品 GMV 贡献占比”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50C62AC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目标：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短期内将核心品种的低价成交份额由 27% 提升至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50% 以上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759797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42ABA"/>
    <w:multiLevelType w:val="multilevel"/>
    <w:tmpl w:val="C9742ABA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CF5F6E43"/>
    <w:multiLevelType w:val="multilevel"/>
    <w:tmpl w:val="CF5F6E43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EBEDECC3"/>
    <w:multiLevelType w:val="multilevel"/>
    <w:tmpl w:val="EBEDECC3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F80EABA5"/>
    <w:multiLevelType w:val="multilevel"/>
    <w:tmpl w:val="F80EABA5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4">
    <w:nsid w:val="0DF0627C"/>
    <w:multiLevelType w:val="multilevel"/>
    <w:tmpl w:val="0DF0627C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5">
    <w:nsid w:val="4FE28AB3"/>
    <w:multiLevelType w:val="multilevel"/>
    <w:tmpl w:val="4FE28AB3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5D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2026-03-12T01:53:33Z</dcterms:created>
  <dc:creator>wangfangzhuo</dc:creator>
  <cp:lastModifiedBy>周缓缓</cp:lastModifiedBy>
  <dcterms:modified xsi:type="dcterms:W3CDTF">2026-03-12T01:54:45Z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eyJoZGlkIjoiZTk5ODhjYzAyMzYxNzdmZmEwNWE1MWE3OTgxMzFkYTUiLCJ1c2VySWQiOiI2NTI5OTMzMTAifQ==</vt:lpwstr>
  </property>
  <property fmtid="{D5CDD505-2E9C-101B-9397-08002B2CF9AE}" pid="4" name="ICV">
    <vt:lpwstr>FF8C8AF906704618AA282408365A55A6_12</vt:lpwstr>
  </property>
</Properties>
</file>