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Frontier of Agentic Reinforcement Learning: Evaluating the Convergence of Autonomous Reasoning, Interactive Environments, and Scalable Orchestration Frameworks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artificial intelligence from Large Language Models (LLMs) as passive text generators to autonomous agentic entities represents a fundamental reconfiguration of the training and evaluation paradigm. This transition necessitates a departure from traditional "open-loop" systems, which primarily operate within degenerate, single-step Markov Decision Processes (MDPs), toward "closed-loop" Agentic Reinforcement Learning (Agentic RL). In this new paradigm, models are reframed as autonomous decision-makers embedded in complex, temporally extended Partially Observable Markov Decision Processes (POMDPs). Central to this transformation is the development of Reinforcement Learning Gyms—interactive, simulated, and real-world environments that serve as the essential verification layer for AI agents. By early 2026, the industry has shifted its focus from raw intelligence scores to "agency," which is defined as the capacity to autonomously perceive, plan, reason, and adapt strategies over extended sequences to achieve cumulative objectives.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report provides an exhaustive critique and expansion of the theoretical and practical landscape of Agentic RL, analyzing standardized architectures like OpenEnv and the Model Context Protocol (MCP), synthetic environment generation through Agent World Model (AWM), and the emerging domain of embodied physical AI.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Theoretical Foundations: The Transition from LLM-RL to Agentic RL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primary critique of conventional LLM-RL, often instantiated as Preference-Based Reinforcement Fine-Tuning (PBRFT), is its mathematical restriction to a horizon length </w:t>
      </w:r>
      <w:r w:rsidDel="00000000" w:rsidR="00000000" w:rsidRPr="00000000">
        <w:rPr>
          <w:rFonts w:ascii="Arial" w:cs="Arial" w:eastAsia="Arial" w:hAnsi="Arial"/>
          <w:color w:val="1f1f1f"/>
        </w:rPr>
        <w:drawing>
          <wp:inline distB="19050" distT="19050" distL="19050" distR="19050">
            <wp:extent cx="471289" cy="230289"/>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71289" cy="230289"/>
                    </a:xfrm>
                    <a:prstGeom prst="rect"/>
                    <a:ln/>
                  </pic:spPr>
                </pic:pic>
              </a:graphicData>
            </a:graphic>
          </wp:inline>
        </w:drawing>
      </w:r>
      <w:r w:rsidDel="00000000" w:rsidR="00000000" w:rsidRPr="00000000">
        <w:rPr>
          <w:rFonts w:ascii="Arial" w:cs="Arial" w:eastAsia="Arial" w:hAnsi="Arial"/>
          <w:color w:val="1f1f1f"/>
          <w:rtl w:val="0"/>
        </w:rPr>
        <w:t xml:space="preserve">. In this setting, the environment state is essentially static—the user prompt—and the action space is restricted to vocabulary tokens. The reward signal is typically based on subjective human alignment or preference, which fails to capture the objective utility required for autonomous action.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Agentic RL reframes this interaction by treating the agent as a policy </w:t>
      </w:r>
      <w:r w:rsidDel="00000000" w:rsidR="00000000" w:rsidRPr="00000000">
        <w:rPr>
          <w:rFonts w:ascii="Arial" w:cs="Arial" w:eastAsia="Arial" w:hAnsi="Arial"/>
          <w:color w:val="1f1f1f"/>
        </w:rPr>
        <w:drawing>
          <wp:inline distB="19050" distT="19050" distL="19050" distR="19050">
            <wp:extent cx="621936" cy="23054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936" cy="230545"/>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62057" cy="23228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2057" cy="232282"/>
                    </a:xfrm>
                    <a:prstGeom prst="rect"/>
                    <a:ln/>
                  </pic:spPr>
                </pic:pic>
              </a:graphicData>
            </a:graphic>
          </wp:inline>
        </w:drawing>
      </w:r>
      <w:r w:rsidDel="00000000" w:rsidR="00000000" w:rsidRPr="00000000">
        <w:rPr>
          <w:rFonts w:ascii="Arial" w:cs="Arial" w:eastAsia="Arial" w:hAnsi="Arial"/>
          <w:color w:val="1f1f1f"/>
          <w:rtl w:val="0"/>
        </w:rPr>
        <w:t xml:space="preserve"> is the history of all prior observations and actions </w:t>
      </w:r>
      <w:r w:rsidDel="00000000" w:rsidR="00000000" w:rsidRPr="00000000">
        <w:rPr>
          <w:rFonts w:ascii="Arial" w:cs="Arial" w:eastAsia="Arial" w:hAnsi="Arial"/>
          <w:color w:val="1f1f1f"/>
        </w:rPr>
        <w:drawing>
          <wp:inline distB="19050" distT="19050" distL="19050" distR="19050">
            <wp:extent cx="1924183" cy="227934"/>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924183" cy="227934"/>
                    </a:xfrm>
                    <a:prstGeom prst="rect"/>
                    <a:ln/>
                  </pic:spPr>
                </pic:pic>
              </a:graphicData>
            </a:graphic>
          </wp:inline>
        </w:drawing>
      </w:r>
      <w:r w:rsidDel="00000000" w:rsidR="00000000" w:rsidRPr="00000000">
        <w:rPr>
          <w:rFonts w:ascii="Arial" w:cs="Arial" w:eastAsia="Arial" w:hAnsi="Arial"/>
          <w:color w:val="1f1f1f"/>
          <w:rtl w:val="0"/>
        </w:rPr>
        <w:t xml:space="preserve">. This history serves as the agent’s internal state within a POMDP </w:t>
      </w:r>
      <w:r w:rsidDel="00000000" w:rsidR="00000000" w:rsidRPr="00000000">
        <w:rPr>
          <w:rFonts w:ascii="Arial" w:cs="Arial" w:eastAsia="Arial" w:hAnsi="Arial"/>
          <w:color w:val="1f1f1f"/>
        </w:rPr>
        <w:drawing>
          <wp:inline distB="19050" distT="19050" distL="19050" distR="19050">
            <wp:extent cx="1596599" cy="22733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596599" cy="227330"/>
                    </a:xfrm>
                    <a:prstGeom prst="rect"/>
                    <a:ln/>
                  </pic:spPr>
                </pic:pic>
              </a:graphicData>
            </a:graphic>
          </wp:inline>
        </w:drawing>
      </w:r>
      <w:r w:rsidDel="00000000" w:rsidR="00000000" w:rsidRPr="00000000">
        <w:rPr>
          <w:rFonts w:ascii="Arial" w:cs="Arial" w:eastAsia="Arial" w:hAnsi="Arial"/>
          <w:color w:val="1f1f1f"/>
          <w:rtl w:val="0"/>
        </w:rPr>
        <w:t xml:space="preserve">. The agent’s primary objective is to maximize the cumulative discounted reward </w:t>
      </w:r>
      <w:r w:rsidDel="00000000" w:rsidR="00000000" w:rsidRPr="00000000">
        <w:rPr>
          <w:rFonts w:ascii="Arial" w:cs="Arial" w:eastAsia="Arial" w:hAnsi="Arial"/>
          <w:color w:val="1f1f1f"/>
        </w:rPr>
        <w:drawing>
          <wp:inline distB="19050" distT="19050" distL="19050" distR="19050">
            <wp:extent cx="1134075" cy="24377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34075" cy="243773"/>
                    </a:xfrm>
                    <a:prstGeom prst="rect"/>
                    <a:ln/>
                  </pic:spPr>
                </pic:pic>
              </a:graphicData>
            </a:graphic>
          </wp:inline>
        </w:drawing>
      </w:r>
      <w:r w:rsidDel="00000000" w:rsidR="00000000" w:rsidRPr="00000000">
        <w:rPr>
          <w:rFonts w:ascii="Arial" w:cs="Arial" w:eastAsia="Arial" w:hAnsi="Arial"/>
          <w:color w:val="1f1f1f"/>
          <w:rtl w:val="0"/>
        </w:rPr>
        <w:t xml:space="preserve"> over a long-term horizon.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Comparative Formalism of RL Paradigms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the depth of this shift, one must examine the fundamental differences in state representation, action spaces, and reward signals that distinguish alignment-focused RL from agency-focused RL.</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Conventional LLM-RL (PBRFT)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Agentic Reinforcement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Mathematical Setup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Single-step MDP (</w:t>
            </w:r>
            <w:r w:rsidDel="00000000" w:rsidR="00000000" w:rsidRPr="00000000">
              <w:rPr>
                <w:rFonts w:ascii="Arial" w:cs="Arial" w:eastAsia="Arial" w:hAnsi="Arial"/>
                <w:color w:val="1f1f1f"/>
              </w:rPr>
              <w:drawing>
                <wp:inline distB="19050" distT="19050" distL="19050" distR="19050">
                  <wp:extent cx="471289" cy="230289"/>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71289" cy="230289"/>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Multi-turn POMDP (</w:t>
            </w:r>
            <w:r w:rsidDel="00000000" w:rsidR="00000000" w:rsidRPr="00000000">
              <w:rPr>
                <w:rFonts w:ascii="Arial" w:cs="Arial" w:eastAsia="Arial" w:hAnsi="Arial"/>
                <w:color w:val="1f1f1f"/>
              </w:rPr>
              <w:drawing>
                <wp:inline distB="19050" distT="19050" distL="19050" distR="19050">
                  <wp:extent cx="512216" cy="227065"/>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2216" cy="227065"/>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 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Static Text Prompt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Dynamic environment +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Vocabulary tokens (</w:t>
            </w:r>
            <w:r w:rsidDel="00000000" w:rsidR="00000000" w:rsidRPr="00000000">
              <w:rPr>
                <w:rFonts w:ascii="Arial" w:cs="Arial" w:eastAsia="Arial" w:hAnsi="Arial"/>
                <w:color w:val="1f1f1f"/>
              </w:rPr>
              <w:drawing>
                <wp:inline distB="19050" distT="19050" distL="19050" distR="19050">
                  <wp:extent cx="128158" cy="228455"/>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8158" cy="228455"/>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Tokens + Tool/API/Keystroke calls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Reward Signal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Subjective Preference (Alignment)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Objective Task Completion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Interaction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Open-loop (Request-Response)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Closed-loop (Action-Observation)</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transition is not merely a matter of increasing </w:t>
      </w:r>
      <w:r w:rsidDel="00000000" w:rsidR="00000000" w:rsidRPr="00000000">
        <w:rPr>
          <w:rFonts w:ascii="Arial" w:cs="Arial" w:eastAsia="Arial" w:hAnsi="Arial"/>
          <w:color w:val="1f1f1f"/>
        </w:rPr>
        <w:drawing>
          <wp:inline distB="19050" distT="19050" distL="19050" distR="19050">
            <wp:extent cx="133284" cy="229249"/>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33284" cy="229249"/>
                    </a:xfrm>
                    <a:prstGeom prst="rect"/>
                    <a:ln/>
                  </pic:spPr>
                </pic:pic>
              </a:graphicData>
            </a:graphic>
          </wp:inline>
        </w:drawing>
      </w:r>
      <w:r w:rsidDel="00000000" w:rsidR="00000000" w:rsidRPr="00000000">
        <w:rPr>
          <w:rFonts w:ascii="Arial" w:cs="Arial" w:eastAsia="Arial" w:hAnsi="Arial"/>
          <w:color w:val="1f1f1f"/>
          <w:rtl w:val="0"/>
        </w:rPr>
        <w:t xml:space="preserve">; it involves the internalization of reasoning as a latent action. Recent advancements suggest decoupling environment interactions from language by internalizing them in an Expanded Action space (ExpA). In this setting, the model uses language tokens for internal reasoning (e.g., &lt;think&gt; tags) but triggers "routing actions" to activate specific external environments like a web browser or a SQL terminal. This allows for a clean separation between high-level planning and low-level environmental manipulation.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Ecosystem of Agentic Capabilities and Task Domains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Progress in Agentic RL is categorized through a taxonomy of core capabilities—planning, tool use, memory, and self-improvement—and task-specific domains that provide dense, observable interaction traces. Planning, in this context, involves using RL as an internal driver to allow agents to decompose complex problems into sub-goals. Tool use marks a shift from simple prompting to proactive API invocation, where models maintain context across long-horizon interactions.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Memory, often supported by structured retrieval-augmented generation (RAG), allows agents to retrieve relevant past interactions to inform current decisions. Self-improvement and reasoning are increasingly facilitated by Large Reasoning Models (LRMs) that make "slow reasoning" steps explicit, allowing for process-level supervision and verifiable rewards.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Task domains like Software Engineering (SWE-Bench), Mathematical Reasoning (AIME), and Web/GUI Interaction (OSWorld) are preferred as proving grounds because they offer clean verification loops. Unlike creative writing, these domains have objective "ground truths"—a passing test case, a correct mathematical result, or a successful database update—which are essential for providing the unambiguous reward signals required for effective RL training.</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Open-Source Frameworks and the Orchestration Layer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standardization of agent-environment interactions is a prerequisite for scaling agentic AI. Two primary architectural patterns have emerged: the environment interface pattern (OpenEnv) and the communication protocol pattern (Model Context Protocol).</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OpenEnv and the Infrastructure of Isolated Execution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OpenEnv, developed by Meta and Hugging Face, is an end-to-end framework designed to standardize how agents interact with execution environments during RL training. It provides a consistent, Gymnasium-compatible interface through three simple APIs: step(), reset(), and state().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 primary design principle of OpenEnv is container isolation, ensuring that each execution environment is secure and isolated from the host system. This is particularly critical for agents performing coding tasks or interacting with untrusted web content.</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OpenEnv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Interface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Gymnasium-compatible (step, reset, state)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Docker-first, HTTP-native services </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Client-Server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Asynchronous WebSocket-based communication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Isolated sandboxed execution environments </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Registry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Integrated with Hugging Face Hub for environment reuse </w:t>
            </w:r>
            <w:r w:rsidDel="00000000" w:rsidR="00000000" w:rsidRPr="00000000">
              <w:rPr>
                <w:rFonts w:ascii="Arial" w:cs="Arial" w:eastAsia="Arial" w:hAnsi="Arial"/>
                <w:color w:val="444746"/>
                <w:sz w:val="24"/>
                <w:szCs w:val="24"/>
                <w:vertAlign w:val="superscript"/>
                <w:rtl w:val="0"/>
              </w:rPr>
              <w:t xml:space="preserve">16</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OpenEnv's architecture strictly separates the client application from the execution environment. Communication occurs over a FastAPI server, where the EnvClient on the training side sends actions to the environment side, which returns observations and rewards. This separation allows for distributed training where the RL training loop runs on high-performance compute while the environments run in lightweight, isolated containers.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 Context Protocol (MCP) and Tool Integration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OpenEnv handles the execution environment, Anthropic’s Model Context Protocol (MCP) has become the de facto standard for tool integration. By early 2026, MCP has moved beyond an experimental protocol to a robust integration layer supported by OpenAI, Google, and Microsoft.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2026 MCP roadmap focuses on transport evolution, agent-to-agent communication, and enterprise readiness.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protocol’s biggest leap in 2026 is the introduction of "Streamable HTTP," which allows MCP servers to scale horizontally without maintaining state. This evolution enables servers to run as remote services rather than local processes, facilitating massive parallel tool-use. Furthermore, the introduction of the "Tasks" primitive (SEP-1686) provides a framework for multi-agent coordination, including retry semantics and expiry policies for long-running operations.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Security and Vulnerability in the MCP Ecosystem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rapid proliferation of MCP has not been without risk. By early 2026, researchers cataloged nearly 7,000 internet-exposed MCP servers, many operating without authorization controls. The protocol, optimized for interoperability, initially overlooked robust identity management.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 critical vulnerability was demonstrated where a malicious MCP server could exfiltrate user data, such as WhatsApp history, by poisoning a tool that the agent legitimately trusted.</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Consequently, enterprise adoption now requires a "lock down" approach, enforcing authentication on every endpoint and separating discovery privileges from invocation privileges.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Large Reasoning Models and the Agent Swarm Paradigm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state-of-the-art in agentic models has shifted from general-purpose assistants to Large Reasoning Models (LRMs) optimized for autonomous action. Moonshot AI’s Kimi K2.5 and NVIDIA’s Nemotron family represent the frontier of this development.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Kimi K2.5 and Parallel Agent Reinforcement Learning (PARL)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Released in January 2026, Kimi K2.5 is a 1-trillion parameter Mixture-of-Experts (MoE) model trained on approximately 32 trillion tokens. The model introduces the "Agent Swarm" paradigm, capable of directing up to 100 sub-agents to complete complex tasks in parallel.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architecture addresses the sequential bottleneck of traditional agents, where one tool call must finish before the next can begin.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train the coordination capabilities of the swarm, Moonshot developed Parallel Agent Reinforcement Learning (PARL). This technique is designed to prevent "serial collapse"—a phenomenon where the orchestrator model fails to parallelize and instead runs a single agent sequentially. In PARL, the sub-agents are frozen, and only the orchestrator is trained with a reward function that incentivizes both sub-task completion and the efficient creation of sub-agents.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Prioritizes speed (3-8s); skips reasoning traces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Simple queries, lookups, code &lt;100 lines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Includes internal reasoning traces; temp=1.0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Math (96.1% AIME), logic, complex coding </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200-300 sequential tool calls; maintains coherence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Research automation, office productivity </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Agent Swarm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Up to 100 parallel sub-agents; dynamic delegation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Parallel research, large-scale automation </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Kimi K2.5's "Thinking" mode is particularly notable for its mathematical prowess, leveraging a 96K token thinking budget to solve frontier-difficulty problems. The model’s ability to maintain stable execution across hundreds of tool calls addresses a common failure point in previous agentic systems where models would lose coherence or "drift" over extended sessions.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NVIDIA OpenClaw and the NemoClaw Stack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March 2026, NVIDIA announced the NemoClaw stack for the OpenClaw platform. OpenClaw is described as the "operating system of agentic computers," an open-source framework for autonomous multi-step reasoning.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NemoClaw optimizes this platform using the NVIDIA Agent Toolkit, providing a single-command installation for NVIDIA Nemotron models and the OpenShell runtime.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OpenShell is a critical security component that provides an isolated sandbox for "claws" (autonomous agents). It enforces policy-based guardrails around network access and data privacy, allowing agents to be productive while maintaining strict governance over their actions.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infrastructure layer is designed for always-on AI assistants that require 24/7 compute to perform tasks like code generation and complex workflow automation.</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Embodied and Physical AI: Grounding Reasoning in Action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Extending agency into the physical world requires grounding reasoning in perception and control. NVIDIA’s GTC 2026 announcements highlighted a shift toward "Physical AI," where software reasons and acts within hardware embodied in the real world.</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World Models and High-Fidelity Simulation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NVIDIA Cosmos 3 is the first world foundation model to unify synthetic world generation, vision reasoning, and action simulation. This model helps physical AI operate in complex environments by simulating world dynamics before a robot takes physical action.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Supporting this is the Newton physics engine 1.0, included in Isaac Lab 3.0, which adds multiphysics simulation and improved support for dexterous manipulation.</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Cosmos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Unifies world generation, vision, and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Generalized robot intelligence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Isaac Sim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Physically accurate large-scale robot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Robotics validation and training </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Alpamayo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Foundation model for perception and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Autonomous vehicles </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Isaac GR00t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Specialized models for humanoid robots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General-purpose robotics </w:t>
            </w:r>
            <w:r w:rsidDel="00000000" w:rsidR="00000000" w:rsidRPr="00000000">
              <w:rPr>
                <w:rFonts w:ascii="Arial" w:cs="Arial" w:eastAsia="Arial" w:hAnsi="Arial"/>
                <w:color w:val="444746"/>
                <w:sz w:val="24"/>
                <w:szCs w:val="24"/>
                <w:vertAlign w:val="superscript"/>
                <w:rtl w:val="0"/>
              </w:rPr>
              <w:t xml:space="preserve">2</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These simulations are critical for bridging the gap between digital training and real-world deployment. For example, CMR Surgical uses Cosmos-H simulation to validate robotic intelligence for its surgical systems prior to clinical use, ensuring that the agent's reasoning is grounded in physically accurate models of the human body.</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Perception and Situational Awareness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intelligent systems of tomorrow depend on a complete chain linking models to real-world execution. Situational awareness is the foundation of this chain, requiring systems to see across multiple spectral bands (UV, night vision, thermal), recognize threats, and prioritize information.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NVIDIA's Physical AI Data Factory Blueprint structures this ecosystem, industrializing the generation and evaluation of data for robots and autonomous vehicles.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Synthetic Environment Generation: Solving Data Scarcity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bottleneck in Agentic RL is the "dataset ceiling"—the exhaustion of high-quality human data. To overcome this, the field has turned to procedurally generated synthetic environments that can provide unlimited, verifiable training data.</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Agent World Model (AWM) and SQL-Backed Interaction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Agent World Model (AWM), introduced by Snowflake AI Research, is a fully synthetic environment generation pipeline. It synthesizes 1,000 executable environments backed by SQLite databases, exposed via a unified MCP interface.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Unlike environments "simulated" by LLMs, which often suffer from state inconsistency, AWM uses actual databases to manage state transitions.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AWM pipeline involves five distinct steps: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Scenario Generation:</w:t>
      </w:r>
      <w:r w:rsidDel="00000000" w:rsidR="00000000" w:rsidRPr="00000000">
        <w:rPr>
          <w:rFonts w:ascii="Arial" w:cs="Arial" w:eastAsia="Arial" w:hAnsi="Arial"/>
          <w:color w:val="1f1f1f"/>
          <w:rtl w:val="0"/>
        </w:rPr>
        <w:t xml:space="preserve"> Generating 1,000 unique scenario descriptions from a seed set of 100 popular domains.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Task Generation:</w:t>
      </w:r>
      <w:r w:rsidDel="00000000" w:rsidR="00000000" w:rsidRPr="00000000">
        <w:rPr>
          <w:rFonts w:ascii="Arial" w:cs="Arial" w:eastAsia="Arial" w:hAnsi="Arial"/>
          <w:color w:val="1f1f1f"/>
          <w:rtl w:val="0"/>
        </w:rPr>
        <w:t xml:space="preserve"> Creating 10 user tasks per scenario that serve as functional requirements.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Database Synthesis:</w:t>
      </w:r>
      <w:r w:rsidDel="00000000" w:rsidR="00000000" w:rsidRPr="00000000">
        <w:rPr>
          <w:rFonts w:ascii="Arial" w:cs="Arial" w:eastAsia="Arial" w:hAnsi="Arial"/>
          <w:color w:val="1f1f1f"/>
          <w:rtl w:val="0"/>
        </w:rPr>
        <w:t xml:space="preserve"> Defining SQLite schemas and populating them with realistic sample data.</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Interface Synthesis:</w:t>
      </w:r>
      <w:r w:rsidDel="00000000" w:rsidR="00000000" w:rsidRPr="00000000">
        <w:rPr>
          <w:rFonts w:ascii="Arial" w:cs="Arial" w:eastAsia="Arial" w:hAnsi="Arial"/>
          <w:color w:val="1f1f1f"/>
          <w:rtl w:val="0"/>
        </w:rPr>
        <w:t xml:space="preserve"> Designing a toolset schema and generating Python code (FastAPI + MCP) to expose these tools to agents.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Verification Synthesis:</w:t>
      </w:r>
      <w:r w:rsidDel="00000000" w:rsidR="00000000" w:rsidRPr="00000000">
        <w:rPr>
          <w:rFonts w:ascii="Arial" w:cs="Arial" w:eastAsia="Arial" w:hAnsi="Arial"/>
          <w:color w:val="1f1f1f"/>
          <w:rtl w:val="0"/>
        </w:rPr>
        <w:t xml:space="preserve"> Creating SQL-augmented judges that inspect database state changes to provide objective reward signals.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Training on AWM has been shown to improve performance across all model scales, as it forces agents to learn robust, transferable tool-use capabilities rather than overfitting to specific benchmark patterns.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Reasoning Gym (RG) and Procedural Reasoning Tasks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AWM focuses on tool use, Reasoning Gym (RG) focuses on formal logic and algorithmic reasoning. RG is a library of procedurally generated reasoning environments that provides over 100 data generators and verifiers.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Its key innovation is the ability to generate virtually infinite training data with adjustable complexity, addressing the memorization problem that plagues static reasoning datasets.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RG supports curriculum learning by adjusting task parameters—such as polynomial degree in algebra tasks or node counts in graph theory.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dynamic scaling allows for continuous evaluation across varying difficulty levels. Experimental results show that models trained on RG tasks demonstrate significant improvements on external reasoning benchmarks like MATH and GSM8K, suggesting that procedurally generated reasoning data promotes generalizable cognitive skills.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Algorithmic Innovations in Long-Horizon Credit Assignment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Long-horizon tasks suffer from sparse rewards, making it difficult to attribute success to specific intermediate actions. This is the "credit assignment problem." In response, the field has moved toward algorithms that can provide more granular, stepwise feedback.</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Group Relative Policy Optimization (GRPO) and HGPO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Group Relative Policy Optimization (GRPO) has become the standard algorithm for Large Reasoning Models. It is a critic-free framework that uses group-based advantage estimation to stabilize policy updates. For each input, the model samples a group of </w:t>
      </w:r>
      <w:r w:rsidDel="00000000" w:rsidR="00000000" w:rsidRPr="00000000">
        <w:rPr>
          <w:rFonts w:ascii="Arial" w:cs="Arial" w:eastAsia="Arial" w:hAnsi="Arial"/>
          <w:color w:val="1f1f1f"/>
        </w:rPr>
        <w:drawing>
          <wp:inline distB="19050" distT="19050" distL="19050" distR="19050">
            <wp:extent cx="144942" cy="239712"/>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44942" cy="239712"/>
                    </a:xfrm>
                    <a:prstGeom prst="rect"/>
                    <a:ln/>
                  </pic:spPr>
                </pic:pic>
              </a:graphicData>
            </a:graphic>
          </wp:inline>
        </w:drawing>
      </w:r>
      <w:r w:rsidDel="00000000" w:rsidR="00000000" w:rsidRPr="00000000">
        <w:rPr>
          <w:rFonts w:ascii="Arial" w:cs="Arial" w:eastAsia="Arial" w:hAnsi="Arial"/>
          <w:color w:val="1f1f1f"/>
          <w:rtl w:val="0"/>
        </w:rPr>
        <w:t xml:space="preserve"> outputs and computes an advantage </w:t>
      </w:r>
      <w:r w:rsidDel="00000000" w:rsidR="00000000" w:rsidRPr="00000000">
        <w:rPr>
          <w:rFonts w:ascii="Arial" w:cs="Arial" w:eastAsia="Arial" w:hAnsi="Arial"/>
          <w:color w:val="1f1f1f"/>
        </w:rPr>
        <w:drawing>
          <wp:inline distB="19050" distT="19050" distL="19050" distR="19050">
            <wp:extent cx="192071" cy="235973"/>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92071" cy="235973"/>
                    </a:xfrm>
                    <a:prstGeom prst="rect"/>
                    <a:ln/>
                  </pic:spPr>
                </pic:pic>
              </a:graphicData>
            </a:graphic>
          </wp:inline>
        </w:drawing>
      </w:r>
      <w:r w:rsidDel="00000000" w:rsidR="00000000" w:rsidRPr="00000000">
        <w:rPr>
          <w:rFonts w:ascii="Arial" w:cs="Arial" w:eastAsia="Arial" w:hAnsi="Arial"/>
          <w:color w:val="1f1f1f"/>
          <w:rtl w:val="0"/>
        </w:rPr>
        <w:t xml:space="preserve"> by subtracting the group mean reward.</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643548"/>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05500" cy="64354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GRPO is efficient, it faces challenges in agentic tasks due to "context inconsistency," where steps within the same group of rollout trajectories have different historical contexts. Hierarchy-of-Groups Policy Optimization (HGPO) was developed to address this by assigning each step to multiple hierarchical groups based on context consistency.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Innovation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Problem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Critic-free group advantage estimation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Training stability and efficiency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HGPO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Hierarchical group assignment and weighting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Long-horizon context inconsistency </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HCAPO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LLM-as-a-post-hoc-critic using hindsight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Delayed reward and sparse signals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SHADOW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Transition dynamics-aware state grouping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Misleading comparisons in inconsistent states </w:t>
            </w:r>
            <w:r w:rsidDel="00000000" w:rsidR="00000000" w:rsidRPr="00000000">
              <w:rPr>
                <w:rFonts w:ascii="Arial" w:cs="Arial" w:eastAsia="Arial" w:hAnsi="Arial"/>
                <w:color w:val="444746"/>
                <w:sz w:val="24"/>
                <w:szCs w:val="24"/>
                <w:vertAlign w:val="superscript"/>
                <w:rtl w:val="0"/>
              </w:rPr>
              <w:t xml:space="preserve">5</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HCAPO (Hindsight Credit Assignment for Policy Optimization) takes a different approach by leveraging the LLM itself as a post-hoc critic. Through hindsight reasoning, the model refines step-level Q-values, effectively supplementing inaccurate value baselines at critical decision points. Evaluations show that HCAPO consistently outperforms state-of-the-art RL methods, achieving a 7.7% improvement in success rate on benchmarks like WebShop.</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Sim-to-Real Gap and the User Simulation Challenge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bottleneck in deploying agentic systems is the "reality gap" between simulated training environments and real-world interactions. This gap is most evident in user simulation, where LLM-based simulators often create an unrealistically "easy" environment for agents.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User-Sim Index (USI)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Research using the User-Sim Index (USI) reveals that all major LLMs fail to realistically simulate human interactive behavior. LLM simulators achieve a USI of approximately 76.0, whereas real human scores average 92.9.</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These simulators are characterized by a "behavioral gap"—they are excessively cooperative, provide all necessary information in the first turn, and lack the frustration found in real human users. Furthermore, there is an "evaluative gap," where simulated users provide uniformly positive feedback, ignoring the nuanced judgments real humans make across dimensions like tone, relevance, and ethics.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CLASSic and CLEAR Evaluation Frameworks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move beyond simple pass/fail metrics, the industry has adopted the CLASSic framework (Cost, Latency, Accuracy, Security, Stability) to measure real-world readiness.</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Measurement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Resource utilization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Token usage and inference expenses </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Speed of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Time for planning, reflection, and iteration </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Reliability of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Correctness of logic, planning, and tool use </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Data privacy and adherence to access controls </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Robustness under high workloads and drift </w:t>
            </w:r>
            <w:r w:rsidDel="00000000" w:rsidR="00000000" w:rsidRPr="00000000">
              <w:rPr>
                <w:rFonts w:ascii="Arial" w:cs="Arial" w:eastAsia="Arial" w:hAnsi="Arial"/>
                <w:color w:val="444746"/>
                <w:sz w:val="24"/>
                <w:szCs w:val="24"/>
                <w:vertAlign w:val="superscript"/>
                <w:rtl w:val="0"/>
              </w:rPr>
              <w:t xml:space="preserve">32</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CLEAR framework (Cost, Latency, Efficacy, Assurance, Reliability) builds on this by identifying a significant performance gap (up to 37%) between lab tests and production deployment. Research indicates that agents optimized for accuracy alone are often 4-10 times more expensive than cost-aware alternatives.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For enterprise deployment, metrics like cost-normalized accuracy (CNA) and SLA compliance are now considered essential.</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Metacognition and the Frontier of AI Wisdom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agents become more capable, the focus is shifting toward "metacognition"—the ability of a model to monitor, diagnose, and correct its own errors. This is particularly relevant for "wise" machines that can handle intractable problems outside the scope of analytical techniques.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Metacognitive Prompting and Self-Awareness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Metacognitive prompting (MP) introduces reflective processes such as comprehension, judgment, and evaluation. Frameworks like MetaMind decompose social reasoning into three stages: a Theory-of-Mind agent to hypothesize user mental states, a Moral agent to refine hypotheses using ethical constraints, and a Response agent to generate appropriate actions.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MetaMind has shown to achieve state-of-the-art performance, matching human-level performance on Theory of Mind tasks for the first time.</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component of this is "capability-aware solvability," where a model assesses its own technical and cognitive capabilities before attempting a task. By using uncertainty estimation—either white-box (entropy) or black-box (response agreement)—models can recognize when their output might be unreliable and trigger self-correction or human escalation.</w:t>
      </w:r>
      <w:r w:rsidDel="00000000" w:rsidR="00000000" w:rsidRPr="00000000">
        <w:rPr>
          <w:rFonts w:ascii="Arial" w:cs="Arial" w:eastAsia="Arial" w:hAnsi="Arial"/>
          <w:color w:val="444746"/>
          <w:sz w:val="24"/>
          <w:szCs w:val="24"/>
          <w:vertAlign w:val="superscript"/>
          <w:rtl w:val="0"/>
        </w:rPr>
        <w:t xml:space="preserve">38</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Role of Long-Term State Management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Unlike traditional LLMs, agentic systems require complex state management to track progress, goals, and execution history over extended periods. Production frameworks like LangGraph 2.0 and CrewAI Enterprise are designed to enable these team-based, multi-agent systems with persistent memory and state management across workflows.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persistence is essential for agents that operate asynchronously over minutes or days to complete business goals, such as processing invoices end-to-end or managing warehouse inventory.</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Toward a Unified Architecture for Autonomous Agency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synthesis of Agentic RL in 2026 points toward a unified architecture where models, environments, and orchestration protocols are seamlessly integrated. This architecture is characterized by several emerging trends: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First, the movement from training-centric AI to inference-dominated autonomous work. The first decade of modern AI focused on building larger models; the current decade focuses on deploying these models to perform useful work autonomously, with a projected $1 trillion in AI-driven revenue by 2027.</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Second, the industrialization of "Physical AI." The convergence of world foundation models like Cosmos 3 with robotics foundation models like Isaac GR00t suggests that agentic intelligence will soon be as common in the physical world as it is in digital environments.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Value is shifting away from the model itself toward the entire chain connecting perception, embedded computing, reasoning, and real-world execution.</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Third, the standardization of security and guardrails. As agents gain the ability to access and modify external systems, platforms like NemoClaw and OpenShell have become essential infrastructure, providing the necessary sandbox and policy-enforcement layers to make autonomous agents safe for enterprise deployment.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path toward Artificial Super Intelligence (ASI) depends on the continued development of these interactive environments and RL algorithms. By formalizing interactions as POMDPs and leveraging synthetic pipelines like AWM and Reasoning Gym, the field is building a scalable, verifiable path toward generalist intelligence. As agentic systems move into production, the CLASSic and CLEAR frameworks will ensure they are not only smart but also reliable, secure, and cost-effective, marking the beginning of a new renaissance in autonomous software.</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Moonshot AI Releases Open-Weight Kimi K2.5 Model with Vision ..., accessed March 24, 2026, </w:t>
      </w:r>
      <w:hyperlink r:id="rId18">
        <w:r w:rsidDel="00000000" w:rsidR="00000000" w:rsidRPr="00000000">
          <w:rPr>
            <w:rFonts w:ascii="Arial" w:cs="Arial" w:eastAsia="Arial" w:hAnsi="Arial"/>
            <w:color w:val="0000ee"/>
            <w:sz w:val="24"/>
            <w:szCs w:val="24"/>
            <w:u w:val="single"/>
            <w:rtl w:val="0"/>
          </w:rPr>
          <w:t xml:space="preserve">https://www.infoq.com/news/2026/02/kimi-k25-swarm/</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GTC 2026 Complete Breakdown: NVIDIA's $1 Trillion AI Vision | by Steven Cen - Medium, accessed March 24, 2026, </w:t>
      </w:r>
      <w:hyperlink r:id="rId19">
        <w:r w:rsidDel="00000000" w:rsidR="00000000" w:rsidRPr="00000000">
          <w:rPr>
            <w:rFonts w:ascii="Arial" w:cs="Arial" w:eastAsia="Arial" w:hAnsi="Arial"/>
            <w:color w:val="0000ee"/>
            <w:sz w:val="24"/>
            <w:szCs w:val="24"/>
            <w:u w:val="single"/>
            <w:rtl w:val="0"/>
          </w:rPr>
          <w:t xml:space="preserve">https://medium.com/@cenrunzhe/gtc-2026-complete-breakdown-nvidias-1-trillion-ai-vision-4aa158339b2b</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AI vs Agentic AI: The Definitive 2026 Comparison Guide, accessed March 24, 2026, </w:t>
      </w:r>
      <w:hyperlink r:id="rId20">
        <w:r w:rsidDel="00000000" w:rsidR="00000000" w:rsidRPr="00000000">
          <w:rPr>
            <w:rFonts w:ascii="Arial" w:cs="Arial" w:eastAsia="Arial" w:hAnsi="Arial"/>
            <w:color w:val="0000ee"/>
            <w:sz w:val="24"/>
            <w:szCs w:val="24"/>
            <w:u w:val="single"/>
            <w:rtl w:val="0"/>
          </w:rPr>
          <w:t xml:space="preserve">https://www.hashmeta.ai/generative-ai/generative-ai-vs-agentic-ai</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Training-Free Group Relative Policy Optimization - OpenReview, accessed March 24, 2026, </w:t>
      </w:r>
      <w:hyperlink r:id="rId21">
        <w:r w:rsidDel="00000000" w:rsidR="00000000" w:rsidRPr="00000000">
          <w:rPr>
            <w:rFonts w:ascii="Arial" w:cs="Arial" w:eastAsia="Arial" w:hAnsi="Arial"/>
            <w:color w:val="0000ee"/>
            <w:sz w:val="24"/>
            <w:szCs w:val="24"/>
            <w:u w:val="single"/>
            <w:rtl w:val="0"/>
          </w:rPr>
          <w:t xml:space="preserve">https://openreview.net/forum?id=tyUnYbE7Gi</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UFO: A UI-Focused Agent for Windows OS Interaction | Request PDF, accessed March 24, 2026, </w:t>
      </w:r>
      <w:hyperlink r:id="rId22">
        <w:r w:rsidDel="00000000" w:rsidR="00000000" w:rsidRPr="00000000">
          <w:rPr>
            <w:rFonts w:ascii="Arial" w:cs="Arial" w:eastAsia="Arial" w:hAnsi="Arial"/>
            <w:color w:val="0000ee"/>
            <w:sz w:val="24"/>
            <w:szCs w:val="24"/>
            <w:u w:val="single"/>
            <w:rtl w:val="0"/>
          </w:rPr>
          <w:t xml:space="preserve">https://www.researchgate.net/publication/392505132_UFO_A_UI-Focused_Agent_for_Windows_OS_Interaction</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GRPO-Based Reinforcement Learning - Emergent Mind, accessed March 24, 2026, </w:t>
      </w:r>
      <w:hyperlink r:id="rId23">
        <w:r w:rsidDel="00000000" w:rsidR="00000000" w:rsidRPr="00000000">
          <w:rPr>
            <w:rFonts w:ascii="Arial" w:cs="Arial" w:eastAsia="Arial" w:hAnsi="Arial"/>
            <w:color w:val="0000ee"/>
            <w:sz w:val="24"/>
            <w:szCs w:val="24"/>
            <w:u w:val="single"/>
            <w:rtl w:val="0"/>
          </w:rPr>
          <w:t xml:space="preserve">https://www.emergentmind.com/topics/grpo-based-reinforcement-learning-22d2eae0-bd5c-4061-93df-c0541cd5a677</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Daily Papers - Hugging Face, accessed March 24, 2026, </w:t>
      </w:r>
      <w:hyperlink r:id="rId24">
        <w:r w:rsidDel="00000000" w:rsidR="00000000" w:rsidRPr="00000000">
          <w:rPr>
            <w:rFonts w:ascii="Arial" w:cs="Arial" w:eastAsia="Arial" w:hAnsi="Arial"/>
            <w:color w:val="0000ee"/>
            <w:sz w:val="24"/>
            <w:szCs w:val="24"/>
            <w:u w:val="single"/>
            <w:rtl w:val="0"/>
          </w:rPr>
          <w:t xml:space="preserve">https://huggingface.co/papers?q=Step-wise%20Group%20Relative%20Policy%20Optimization%20(StepGRPO)</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Kimi K2.5: Complete Guide to Moonshot's AI Model | Codecademy, accessed March 24, 2026, </w:t>
      </w:r>
      <w:hyperlink r:id="rId25">
        <w:r w:rsidDel="00000000" w:rsidR="00000000" w:rsidRPr="00000000">
          <w:rPr>
            <w:rFonts w:ascii="Arial" w:cs="Arial" w:eastAsia="Arial" w:hAnsi="Arial"/>
            <w:color w:val="0000ee"/>
            <w:sz w:val="24"/>
            <w:szCs w:val="24"/>
            <w:u w:val="single"/>
            <w:rtl w:val="0"/>
          </w:rPr>
          <w:t xml:space="preserve">https://www.codecademy.com/article/kimi-k-2-5-complete-guide-to-moonshots-ai-model</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Snowflake-Labs/agent-world-model - GitHub, accessed March 24, 2026, </w:t>
      </w:r>
      <w:hyperlink r:id="rId26">
        <w:r w:rsidDel="00000000" w:rsidR="00000000" w:rsidRPr="00000000">
          <w:rPr>
            <w:rFonts w:ascii="Arial" w:cs="Arial" w:eastAsia="Arial" w:hAnsi="Arial"/>
            <w:color w:val="0000ee"/>
            <w:sz w:val="24"/>
            <w:szCs w:val="24"/>
            <w:u w:val="single"/>
            <w:rtl w:val="0"/>
          </w:rPr>
          <w:t xml:space="preserve">https://github.com/Snowflake-Labs/agent-world-model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World Model: Infinity Synthetic Environments for Agentic Reinforcement Learning | Request PDF - ResearchGate, accessed March 24, 2026, </w:t>
      </w:r>
      <w:hyperlink r:id="rId27">
        <w:r w:rsidDel="00000000" w:rsidR="00000000" w:rsidRPr="00000000">
          <w:rPr>
            <w:rFonts w:ascii="Arial" w:cs="Arial" w:eastAsia="Arial" w:hAnsi="Arial"/>
            <w:color w:val="0000ee"/>
            <w:sz w:val="24"/>
            <w:szCs w:val="24"/>
            <w:u w:val="single"/>
            <w:rtl w:val="0"/>
          </w:rPr>
          <w:t xml:space="preserve">https://www.researchgate.net/publication/400661605_Agent_World_Model_Infinity_Synthetic_Environments_for_Agentic_Reinforcement_Learning</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12 Most Powerful AI Agents in 2026 - Ranked by Real-World Impact | Robylon, accessed March 24, 2026, </w:t>
      </w:r>
      <w:hyperlink r:id="rId28">
        <w:r w:rsidDel="00000000" w:rsidR="00000000" w:rsidRPr="00000000">
          <w:rPr>
            <w:rFonts w:ascii="Arial" w:cs="Arial" w:eastAsia="Arial" w:hAnsi="Arial"/>
            <w:color w:val="0000ee"/>
            <w:sz w:val="24"/>
            <w:szCs w:val="24"/>
            <w:u w:val="single"/>
            <w:rtl w:val="0"/>
          </w:rPr>
          <w:t xml:space="preserve">https://www.robylon.ai/blog/best-ai-agents-of-2026</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REASONING GYM: Reasoning Environments for Reinforcement Learning with Verifiable Rewards - arXiv, accessed March 24, 2026, </w:t>
      </w:r>
      <w:hyperlink r:id="rId29">
        <w:r w:rsidDel="00000000" w:rsidR="00000000" w:rsidRPr="00000000">
          <w:rPr>
            <w:rFonts w:ascii="Arial" w:cs="Arial" w:eastAsia="Arial" w:hAnsi="Arial"/>
            <w:color w:val="0000ee"/>
            <w:sz w:val="24"/>
            <w:szCs w:val="24"/>
            <w:u w:val="single"/>
            <w:rtl w:val="0"/>
          </w:rPr>
          <w:t xml:space="preserve">https://arxiv.org/pdf/2505.24760</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Reasoning Gym: Procedural RL Benchmark - Emergent Mind, accessed March 24, 2026, </w:t>
      </w:r>
      <w:hyperlink r:id="rId30">
        <w:r w:rsidDel="00000000" w:rsidR="00000000" w:rsidRPr="00000000">
          <w:rPr>
            <w:rFonts w:ascii="Arial" w:cs="Arial" w:eastAsia="Arial" w:hAnsi="Arial"/>
            <w:color w:val="0000ee"/>
            <w:sz w:val="24"/>
            <w:szCs w:val="24"/>
            <w:u w:val="single"/>
            <w:rtl w:val="0"/>
          </w:rPr>
          <w:t xml:space="preserve">https://www.emergentmind.com/topics/reasoning-gym-rg</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meta-pytorch/OpenEnv: An interface library for RL post ... - GitHub, accessed March 24, 2026, </w:t>
      </w:r>
      <w:hyperlink r:id="rId31">
        <w:r w:rsidDel="00000000" w:rsidR="00000000" w:rsidRPr="00000000">
          <w:rPr>
            <w:rFonts w:ascii="Arial" w:cs="Arial" w:eastAsia="Arial" w:hAnsi="Arial"/>
            <w:color w:val="0000ee"/>
            <w:sz w:val="24"/>
            <w:szCs w:val="24"/>
            <w:u w:val="single"/>
            <w:rtl w:val="0"/>
          </w:rPr>
          <w:t xml:space="preserve">https://github.com/meta-pytorch/OpenEnv</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OpenEnv: Agentic Execution Environments - Meta-PyTorch, accessed March 24, 2026, </w:t>
      </w:r>
      <w:hyperlink r:id="rId32">
        <w:r w:rsidDel="00000000" w:rsidR="00000000" w:rsidRPr="00000000">
          <w:rPr>
            <w:rFonts w:ascii="Arial" w:cs="Arial" w:eastAsia="Arial" w:hAnsi="Arial"/>
            <w:color w:val="0000ee"/>
            <w:sz w:val="24"/>
            <w:szCs w:val="24"/>
            <w:u w:val="single"/>
            <w:rtl w:val="0"/>
          </w:rPr>
          <w:t xml:space="preserve">https://meta-pytorch.org/OpenEnv/index.html</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OpenEnv Integration for Training LLMs with Environments - Hugging Face, accessed March 24, 2026, </w:t>
      </w:r>
      <w:hyperlink r:id="rId33">
        <w:r w:rsidDel="00000000" w:rsidR="00000000" w:rsidRPr="00000000">
          <w:rPr>
            <w:rFonts w:ascii="Arial" w:cs="Arial" w:eastAsia="Arial" w:hAnsi="Arial"/>
            <w:color w:val="0000ee"/>
            <w:sz w:val="24"/>
            <w:szCs w:val="24"/>
            <w:u w:val="single"/>
            <w:rtl w:val="0"/>
          </w:rPr>
          <w:t xml:space="preserve">https://huggingface.co/docs/trl/openenv</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Future of MCP: Roadmap, Enhancements, and What's Next - Knit API, accessed March 24, 2026, </w:t>
      </w:r>
      <w:hyperlink r:id="rId34">
        <w:r w:rsidDel="00000000" w:rsidR="00000000" w:rsidRPr="00000000">
          <w:rPr>
            <w:rFonts w:ascii="Arial" w:cs="Arial" w:eastAsia="Arial" w:hAnsi="Arial"/>
            <w:color w:val="0000ee"/>
            <w:sz w:val="24"/>
            <w:szCs w:val="24"/>
            <w:u w:val="single"/>
            <w:rtl w:val="0"/>
          </w:rPr>
          <w:t xml:space="preserve">https://www.getknit.dev/blog/the-future-of-mcp-roadmap-enhancements-and-whats-next</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 Servers: The New Shadow IT for AI in 2026 – Qualys TotalAI, accessed March 24, 2026, </w:t>
      </w:r>
      <w:hyperlink r:id="rId35">
        <w:r w:rsidDel="00000000" w:rsidR="00000000" w:rsidRPr="00000000">
          <w:rPr>
            <w:rFonts w:ascii="Arial" w:cs="Arial" w:eastAsia="Arial" w:hAnsi="Arial"/>
            <w:color w:val="0000ee"/>
            <w:sz w:val="24"/>
            <w:szCs w:val="24"/>
            <w:u w:val="single"/>
            <w:rtl w:val="0"/>
          </w:rPr>
          <w:t xml:space="preserve">https://blog.qualys.com/product-tech/2026/03/19/mcp-servers-shadow-it-ai-qualys-totalai-2026</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2026 MCP Roadmap | Model Context Protocol Blog, accessed March 24, 2026, </w:t>
      </w:r>
      <w:hyperlink r:id="rId36">
        <w:r w:rsidDel="00000000" w:rsidR="00000000" w:rsidRPr="00000000">
          <w:rPr>
            <w:rFonts w:ascii="Arial" w:cs="Arial" w:eastAsia="Arial" w:hAnsi="Arial"/>
            <w:color w:val="0000ee"/>
            <w:sz w:val="24"/>
            <w:szCs w:val="24"/>
            <w:u w:val="single"/>
            <w:rtl w:val="0"/>
          </w:rPr>
          <w:t xml:space="preserve">http://blog.modelcontextprotocol.io/posts/2026-mcp-roadmap/</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MCP's biggest growing pains for production use will soon be solved - The New Stack, accessed March 24, 2026, </w:t>
      </w:r>
      <w:hyperlink r:id="rId37">
        <w:r w:rsidDel="00000000" w:rsidR="00000000" w:rsidRPr="00000000">
          <w:rPr>
            <w:rFonts w:ascii="Arial" w:cs="Arial" w:eastAsia="Arial" w:hAnsi="Arial"/>
            <w:color w:val="0000ee"/>
            <w:sz w:val="24"/>
            <w:szCs w:val="24"/>
            <w:u w:val="single"/>
            <w:rtl w:val="0"/>
          </w:rPr>
          <w:t xml:space="preserve">https://thenewstack.io/model-context-protocol-roadmap-2026/</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 is the backdoor your zero-trust architecture forgot to close | perspective - SC Media, accessed March 24, 2026, </w:t>
      </w:r>
      <w:hyperlink r:id="rId38">
        <w:r w:rsidDel="00000000" w:rsidR="00000000" w:rsidRPr="00000000">
          <w:rPr>
            <w:rFonts w:ascii="Arial" w:cs="Arial" w:eastAsia="Arial" w:hAnsi="Arial"/>
            <w:color w:val="0000ee"/>
            <w:sz w:val="24"/>
            <w:szCs w:val="24"/>
            <w:u w:val="single"/>
            <w:rtl w:val="0"/>
          </w:rPr>
          <w:t xml:space="preserve">https://www.scworld.com/perspective/mcp-is-the-backdoor-your-zero-trust-architecture-forgot-to-close</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Moonshot's Kimi K2.5 introduces agent swarm, highlights open source model momentum, accessed March 24, 2026, </w:t>
      </w:r>
      <w:hyperlink r:id="rId39">
        <w:r w:rsidDel="00000000" w:rsidR="00000000" w:rsidRPr="00000000">
          <w:rPr>
            <w:rFonts w:ascii="Arial" w:cs="Arial" w:eastAsia="Arial" w:hAnsi="Arial"/>
            <w:color w:val="0000ee"/>
            <w:sz w:val="24"/>
            <w:szCs w:val="24"/>
            <w:u w:val="single"/>
            <w:rtl w:val="0"/>
          </w:rPr>
          <w:t xml:space="preserve">https://www.constellationr.com/insights/news/moonshots-kimi-k25-introduces-agent-swarm-highlights-open-source-model-momentum</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Announces NemoClaw for the OpenClaw Community ..., accessed March 24, 2026, </w:t>
      </w:r>
      <w:hyperlink r:id="rId40">
        <w:r w:rsidDel="00000000" w:rsidR="00000000" w:rsidRPr="00000000">
          <w:rPr>
            <w:rFonts w:ascii="Arial" w:cs="Arial" w:eastAsia="Arial" w:hAnsi="Arial"/>
            <w:color w:val="0000ee"/>
            <w:sz w:val="24"/>
            <w:szCs w:val="24"/>
            <w:u w:val="single"/>
            <w:rtl w:val="0"/>
          </w:rPr>
          <w:t xml:space="preserve">https://nvidianews.nvidia.com/news/nvidia-announces-nemoclaw</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GTC 2026 Announcements: Situational Awareness at the Heart of Physical AI, accessed March 24, 2026, </w:t>
      </w:r>
      <w:hyperlink r:id="rId41">
        <w:r w:rsidDel="00000000" w:rsidR="00000000" w:rsidRPr="00000000">
          <w:rPr>
            <w:rFonts w:ascii="Arial" w:cs="Arial" w:eastAsia="Arial" w:hAnsi="Arial"/>
            <w:color w:val="0000ee"/>
            <w:sz w:val="24"/>
            <w:szCs w:val="24"/>
            <w:u w:val="single"/>
            <w:rtl w:val="0"/>
          </w:rPr>
          <w:t xml:space="preserve">https://nexvision.fr/2026/03/nvidia-gtc-2026-announcements-situational-awareness-at-the-heart-of-physical-ai/</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and Global Robotics Leaders Take Physical AI to the Real World, accessed March 24, 2026, </w:t>
      </w:r>
      <w:hyperlink r:id="rId42">
        <w:r w:rsidDel="00000000" w:rsidR="00000000" w:rsidRPr="00000000">
          <w:rPr>
            <w:rFonts w:ascii="Arial" w:cs="Arial" w:eastAsia="Arial" w:hAnsi="Arial"/>
            <w:color w:val="0000ee"/>
            <w:sz w:val="24"/>
            <w:szCs w:val="24"/>
            <w:u w:val="single"/>
            <w:rtl w:val="0"/>
          </w:rPr>
          <w:t xml:space="preserve">https://nvidianews.nvidia.com/news/nvidia-and-global-robotics-leaders-take-physical-ai-to-the-real-world</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NVIDIA Expands Open Model Families to Power the Next Wave of Agentic, Physical and Healthcare AI, accessed March 24, 2026, </w:t>
      </w:r>
      <w:hyperlink r:id="rId43">
        <w:r w:rsidDel="00000000" w:rsidR="00000000" w:rsidRPr="00000000">
          <w:rPr>
            <w:rFonts w:ascii="Arial" w:cs="Arial" w:eastAsia="Arial" w:hAnsi="Arial"/>
            <w:color w:val="0000ee"/>
            <w:sz w:val="24"/>
            <w:szCs w:val="24"/>
            <w:u w:val="single"/>
            <w:rtl w:val="0"/>
          </w:rPr>
          <w:t xml:space="preserve">https://investor.nvidia.com/news/press-release-details/2026/NVIDIA-Expands-Open-Model-Families-to-Power-the-Next-Wave-of-Agentic-Physical-and-Healthcare-AI/default.aspx</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World Model (AWM): Infinity Synthetic Environments for Agentic Reinforcement Learning - Snowflake, accessed March 24, 2026, </w:t>
      </w:r>
      <w:hyperlink r:id="rId44">
        <w:r w:rsidDel="00000000" w:rsidR="00000000" w:rsidRPr="00000000">
          <w:rPr>
            <w:rFonts w:ascii="Arial" w:cs="Arial" w:eastAsia="Arial" w:hAnsi="Arial"/>
            <w:color w:val="0000ee"/>
            <w:sz w:val="24"/>
            <w:szCs w:val="24"/>
            <w:u w:val="single"/>
            <w:rtl w:val="0"/>
          </w:rPr>
          <w:t xml:space="preserve">https://www.snowflake.com/en/engineering-blog/agent-world-model-for-agentic-reinforment-learning/</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Reasoning Gym: Reasoning Environments for Reinforcement Learning with Verifiable Rewards | OpenReview, accessed March 24, 2026, </w:t>
      </w:r>
      <w:hyperlink r:id="rId45">
        <w:r w:rsidDel="00000000" w:rsidR="00000000" w:rsidRPr="00000000">
          <w:rPr>
            <w:rFonts w:ascii="Arial" w:cs="Arial" w:eastAsia="Arial" w:hAnsi="Arial"/>
            <w:color w:val="0000ee"/>
            <w:sz w:val="24"/>
            <w:szCs w:val="24"/>
            <w:u w:val="single"/>
            <w:rtl w:val="0"/>
          </w:rPr>
          <w:t xml:space="preserve">https://openreview.net/forum?id=GqYSunGmp7&amp;referrer=%5Bthe%20profile%20of%20Oliver%20Stanley%5D(%2Fprofile%3Fid%3D~Oliver_Stanley1)</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REASONING GYM: Reasoning Environments for Reinforcement Learning with Verifiable Rewards - ResearchGate, accessed March 24, 2026, </w:t>
      </w:r>
      <w:hyperlink r:id="rId46">
        <w:r w:rsidDel="00000000" w:rsidR="00000000" w:rsidRPr="00000000">
          <w:rPr>
            <w:rFonts w:ascii="Arial" w:cs="Arial" w:eastAsia="Arial" w:hAnsi="Arial"/>
            <w:color w:val="0000ee"/>
            <w:sz w:val="24"/>
            <w:szCs w:val="24"/>
            <w:u w:val="single"/>
            <w:rtl w:val="0"/>
          </w:rPr>
          <w:t xml:space="preserve">https://www.researchgate.net/publication/392314857_REASONING_GYM_Reasoning_Environments_for_Reinforcement_Learning_with_Verifiable_Rewards</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ReasoningGYM: Procedural Reasoning Tasks - Emergent Mind, accessed March 24, 2026, </w:t>
      </w:r>
      <w:hyperlink r:id="rId47">
        <w:r w:rsidDel="00000000" w:rsidR="00000000" w:rsidRPr="00000000">
          <w:rPr>
            <w:rFonts w:ascii="Arial" w:cs="Arial" w:eastAsia="Arial" w:hAnsi="Arial"/>
            <w:color w:val="0000ee"/>
            <w:sz w:val="24"/>
            <w:szCs w:val="24"/>
            <w:u w:val="single"/>
            <w:rtl w:val="0"/>
          </w:rPr>
          <w:t xml:space="preserve">https://www.emergentmind.com/topics/reasoninggym-dataset</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Mind the Sim2Real Gap in User Simulation for Agentic Tasks - arXiv, accessed March 24, 2026, </w:t>
      </w:r>
      <w:hyperlink r:id="rId48">
        <w:r w:rsidDel="00000000" w:rsidR="00000000" w:rsidRPr="00000000">
          <w:rPr>
            <w:rFonts w:ascii="Arial" w:cs="Arial" w:eastAsia="Arial" w:hAnsi="Arial"/>
            <w:color w:val="0000ee"/>
            <w:sz w:val="24"/>
            <w:szCs w:val="24"/>
            <w:u w:val="single"/>
            <w:rtl w:val="0"/>
          </w:rPr>
          <w:t xml:space="preserve">https://arxiv.org/html/2603.11245v1</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 Evaluation: Ensuring Reliability and Performance | TechAhead, accessed March 24, 2026, </w:t>
      </w:r>
      <w:hyperlink r:id="rId49">
        <w:r w:rsidDel="00000000" w:rsidR="00000000" w:rsidRPr="00000000">
          <w:rPr>
            <w:rFonts w:ascii="Arial" w:cs="Arial" w:eastAsia="Arial" w:hAnsi="Arial"/>
            <w:color w:val="0000ee"/>
            <w:sz w:val="24"/>
            <w:szCs w:val="24"/>
            <w:u w:val="single"/>
            <w:rtl w:val="0"/>
          </w:rPr>
          <w:t xml:space="preserve">https://www.techaheadcorp.com/blog/agentic-ai-evaluation-ensuring-reliability-and-performance/</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AI Agent Evaluation: A CLASSic Approach for Enterprises - Aisera, accessed March 24, 2026, </w:t>
      </w:r>
      <w:hyperlink r:id="rId50">
        <w:r w:rsidDel="00000000" w:rsidR="00000000" w:rsidRPr="00000000">
          <w:rPr>
            <w:rFonts w:ascii="Arial" w:cs="Arial" w:eastAsia="Arial" w:hAnsi="Arial"/>
            <w:color w:val="0000ee"/>
            <w:sz w:val="24"/>
            <w:szCs w:val="24"/>
            <w:u w:val="single"/>
            <w:rtl w:val="0"/>
          </w:rPr>
          <w:t xml:space="preserve">https://aisera.com/blog/ai-agent-evaluation/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Accuracy: A Multi-Dimensional Framework for Evaluating Enterprise Agentic AI Systems - arXiv.org, accessed March 24, 2026, </w:t>
      </w:r>
      <w:hyperlink r:id="rId51">
        <w:r w:rsidDel="00000000" w:rsidR="00000000" w:rsidRPr="00000000">
          <w:rPr>
            <w:rFonts w:ascii="Arial" w:cs="Arial" w:eastAsia="Arial" w:hAnsi="Arial"/>
            <w:color w:val="0000ee"/>
            <w:sz w:val="24"/>
            <w:szCs w:val="24"/>
            <w:u w:val="single"/>
            <w:rtl w:val="0"/>
          </w:rPr>
          <w:t xml:space="preserve">https://arxiv.org/html/2511.14136v1</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Imagining and building wise machines: the centrality of AI metacognition - ResearchGate, accessed March 24, 2026, </w:t>
      </w:r>
      <w:hyperlink r:id="rId52">
        <w:r w:rsidDel="00000000" w:rsidR="00000000" w:rsidRPr="00000000">
          <w:rPr>
            <w:rFonts w:ascii="Arial" w:cs="Arial" w:eastAsia="Arial" w:hAnsi="Arial"/>
            <w:color w:val="0000ee"/>
            <w:sz w:val="24"/>
            <w:szCs w:val="24"/>
            <w:u w:val="single"/>
            <w:rtl w:val="0"/>
          </w:rPr>
          <w:t xml:space="preserve">https://www.researchgate.net/publication/401262546_Imagining_and_building_wise_machines_the_centrality_of_AI_metacognition</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Metacognitive Prompting Improves Understanding in Large Language Models, accessed March 24, 2026, </w:t>
      </w:r>
      <w:hyperlink r:id="rId53">
        <w:r w:rsidDel="00000000" w:rsidR="00000000" w:rsidRPr="00000000">
          <w:rPr>
            <w:rFonts w:ascii="Arial" w:cs="Arial" w:eastAsia="Arial" w:hAnsi="Arial"/>
            <w:color w:val="0000ee"/>
            <w:sz w:val="24"/>
            <w:szCs w:val="24"/>
            <w:u w:val="single"/>
            <w:rtl w:val="0"/>
          </w:rPr>
          <w:t xml:space="preserve">https://www.researchgate.net/publication/382626707_Metacognitive_Prompting_Improves_Understanding_in_Large_Language_Models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Track: San Diego Poster Session 2 - NeurIPS, accessed March 24, 2026, </w:t>
      </w:r>
      <w:hyperlink r:id="rId54">
        <w:r w:rsidDel="00000000" w:rsidR="00000000" w:rsidRPr="00000000">
          <w:rPr>
            <w:rFonts w:ascii="Arial" w:cs="Arial" w:eastAsia="Arial" w:hAnsi="Arial"/>
            <w:color w:val="0000ee"/>
            <w:sz w:val="24"/>
            <w:szCs w:val="24"/>
            <w:u w:val="single"/>
            <w:rtl w:val="0"/>
          </w:rPr>
          <w:t xml:space="preserve">https://neurips.cc/virtual/2025/loc/san-diego/session/128332</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ICML Poster Position: LLMs Need a Bayesian Meta-Reasoning Framework for More Robust and Generalizable Reasoning - ICML 2026, accessed March 24, 2026, </w:t>
      </w:r>
      <w:hyperlink r:id="rId55">
        <w:r w:rsidDel="00000000" w:rsidR="00000000" w:rsidRPr="00000000">
          <w:rPr>
            <w:rFonts w:ascii="Arial" w:cs="Arial" w:eastAsia="Arial" w:hAnsi="Arial"/>
            <w:color w:val="0000ee"/>
            <w:sz w:val="24"/>
            <w:szCs w:val="24"/>
            <w:u w:val="single"/>
            <w:rtl w:val="0"/>
          </w:rPr>
          <w:t xml:space="preserve">https://icml.cc/virtual/2025/poster/40142</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 News &amp; Updates: Latest Developments 2025 - Hashmeta.ai, accessed March 24, 2026, </w:t>
      </w:r>
      <w:hyperlink r:id="rId56">
        <w:r w:rsidDel="00000000" w:rsidR="00000000" w:rsidRPr="00000000">
          <w:rPr>
            <w:rFonts w:ascii="Arial" w:cs="Arial" w:eastAsia="Arial" w:hAnsi="Arial"/>
            <w:color w:val="0000ee"/>
            <w:sz w:val="24"/>
            <w:szCs w:val="24"/>
            <w:u w:val="single"/>
            <w:rtl w:val="0"/>
          </w:rPr>
          <w:t xml:space="preserve">https://www.hashmeta.ai/en/generative-ai/agentic-ai-news-updates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vidianews.nvidia.com/news/nvidia-announces-nemoclaw" TargetMode="External"/><Relationship Id="rId42" Type="http://schemas.openxmlformats.org/officeDocument/2006/relationships/hyperlink" Target="https://nvidianews.nvidia.com/news/nvidia-and-global-robotics-leaders-take-physical-ai-to-the-real-world" TargetMode="External"/><Relationship Id="rId41" Type="http://schemas.openxmlformats.org/officeDocument/2006/relationships/hyperlink" Target="https://nexvision.fr/2026/03/nvidia-gtc-2026-announcements-situational-awareness-at-the-heart-of-physical-ai/" TargetMode="External"/><Relationship Id="rId44" Type="http://schemas.openxmlformats.org/officeDocument/2006/relationships/hyperlink" Target="https://www.snowflake.com/en/engineering-blog/agent-world-model-for-agentic-reinforment-learning/" TargetMode="External"/><Relationship Id="rId43" Type="http://schemas.openxmlformats.org/officeDocument/2006/relationships/hyperlink" Target="https://investor.nvidia.com/news/press-release-details/2026/NVIDIA-Expands-Open-Model-Families-to-Power-the-Next-Wave-of-Agentic-Physical-and-Healthcare-AI/default.aspx" TargetMode="External"/><Relationship Id="rId46" Type="http://schemas.openxmlformats.org/officeDocument/2006/relationships/hyperlink" Target="https://www.researchgate.net/publication/392314857_REASONING_GYM_Reasoning_Environments_for_Reinforcement_Learning_with_Verifiable_Rewards" TargetMode="External"/><Relationship Id="rId45" Type="http://schemas.openxmlformats.org/officeDocument/2006/relationships/hyperlink" Target="https://openreview.net/forum?id=GqYSunGmp7&amp;referrer=%5Bthe+profile+of+Oliver+Stanley%5D(/profile?id%3D~Oliver_Stanley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yperlink" Target="https://arxiv.org/html/2603.11245v1" TargetMode="External"/><Relationship Id="rId47" Type="http://schemas.openxmlformats.org/officeDocument/2006/relationships/hyperlink" Target="https://www.emergentmind.com/topics/reasoninggym-dataset" TargetMode="External"/><Relationship Id="rId49" Type="http://schemas.openxmlformats.org/officeDocument/2006/relationships/hyperlink" Target="https://www.techaheadcorp.com/blog/agentic-ai-evaluation-ensuring-reliability-and-performance/"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github.com/meta-pytorch/OpenEnv" TargetMode="External"/><Relationship Id="rId30" Type="http://schemas.openxmlformats.org/officeDocument/2006/relationships/hyperlink" Target="https://www.emergentmind.com/topics/reasoning-gym-rg" TargetMode="External"/><Relationship Id="rId33" Type="http://schemas.openxmlformats.org/officeDocument/2006/relationships/hyperlink" Target="https://huggingface.co/docs/trl/openenv" TargetMode="External"/><Relationship Id="rId32" Type="http://schemas.openxmlformats.org/officeDocument/2006/relationships/hyperlink" Target="https://meta-pytorch.org/OpenEnv/index.html" TargetMode="External"/><Relationship Id="rId35" Type="http://schemas.openxmlformats.org/officeDocument/2006/relationships/hyperlink" Target="https://blog.qualys.com/product-tech/2026/03/19/mcp-servers-shadow-it-ai-qualys-totalai-2026" TargetMode="External"/><Relationship Id="rId34" Type="http://schemas.openxmlformats.org/officeDocument/2006/relationships/hyperlink" Target="https://www.getknit.dev/blog/the-future-of-mcp-roadmap-enhancements-and-whats-next" TargetMode="External"/><Relationship Id="rId37" Type="http://schemas.openxmlformats.org/officeDocument/2006/relationships/hyperlink" Target="https://thenewstack.io/model-context-protocol-roadmap-2026/" TargetMode="External"/><Relationship Id="rId36" Type="http://schemas.openxmlformats.org/officeDocument/2006/relationships/hyperlink" Target="http://blog.modelcontextprotocol.io/posts/2026-mcp-roadmap/" TargetMode="External"/><Relationship Id="rId39" Type="http://schemas.openxmlformats.org/officeDocument/2006/relationships/hyperlink" Target="https://www.constellationr.com/insights/news/moonshots-kimi-k25-introduces-agent-swarm-highlights-open-source-model-momentum" TargetMode="External"/><Relationship Id="rId38" Type="http://schemas.openxmlformats.org/officeDocument/2006/relationships/hyperlink" Target="https://www.scworld.com/perspective/mcp-is-the-backdoor-your-zero-trust-architecture-forgot-to-close" TargetMode="External"/><Relationship Id="rId20" Type="http://schemas.openxmlformats.org/officeDocument/2006/relationships/hyperlink" Target="https://www.hashmeta.ai/generative-ai/generative-ai-vs-agentic-ai" TargetMode="External"/><Relationship Id="rId22" Type="http://schemas.openxmlformats.org/officeDocument/2006/relationships/hyperlink" Target="https://www.researchgate.net/publication/392505132_UFO_A_UI-Focused_Agent_for_Windows_OS_Interaction" TargetMode="External"/><Relationship Id="rId21" Type="http://schemas.openxmlformats.org/officeDocument/2006/relationships/hyperlink" Target="https://openreview.net/forum?id=tyUnYbE7Gi" TargetMode="External"/><Relationship Id="rId24" Type="http://schemas.openxmlformats.org/officeDocument/2006/relationships/hyperlink" Target="https://huggingface.co/papers?q=Step-wise+Group+Relative+Policy+Optimization+(StepGRPO)" TargetMode="External"/><Relationship Id="rId23" Type="http://schemas.openxmlformats.org/officeDocument/2006/relationships/hyperlink" Target="https://www.emergentmind.com/topics/grpo-based-reinforcement-learning-22d2eae0-bd5c-4061-93df-c0541cd5a677" TargetMode="External"/><Relationship Id="rId26" Type="http://schemas.openxmlformats.org/officeDocument/2006/relationships/hyperlink" Target="https://github.com/Snowflake-Labs/agent-world-model" TargetMode="External"/><Relationship Id="rId25" Type="http://schemas.openxmlformats.org/officeDocument/2006/relationships/hyperlink" Target="https://www.codecademy.com/article/kimi-k-2-5-complete-guide-to-moonshots-ai-model" TargetMode="External"/><Relationship Id="rId28" Type="http://schemas.openxmlformats.org/officeDocument/2006/relationships/hyperlink" Target="https://www.robylon.ai/blog/best-ai-agents-of-2026" TargetMode="External"/><Relationship Id="rId27" Type="http://schemas.openxmlformats.org/officeDocument/2006/relationships/hyperlink" Target="https://www.researchgate.net/publication/400661605_Agent_World_Model_Infinity_Synthetic_Environments_for_Agentic_Reinforcement_Learning" TargetMode="External"/><Relationship Id="rId29" Type="http://schemas.openxmlformats.org/officeDocument/2006/relationships/hyperlink" Target="https://arxiv.org/pdf/2505.24760" TargetMode="External"/><Relationship Id="rId51" Type="http://schemas.openxmlformats.org/officeDocument/2006/relationships/hyperlink" Target="https://arxiv.org/html/2511.14136v1" TargetMode="External"/><Relationship Id="rId50" Type="http://schemas.openxmlformats.org/officeDocument/2006/relationships/hyperlink" Target="https://aisera.com/blog/ai-agent-evaluation/" TargetMode="External"/><Relationship Id="rId53" Type="http://schemas.openxmlformats.org/officeDocument/2006/relationships/hyperlink" Target="https://www.researchgate.net/publication/382626707_Metacognitive_Prompting_Improves_Understanding_in_Large_Language_Models" TargetMode="External"/><Relationship Id="rId52" Type="http://schemas.openxmlformats.org/officeDocument/2006/relationships/hyperlink" Target="https://www.researchgate.net/publication/401262546_Imagining_and_building_wise_machines_the_centrality_of_AI_metacognition" TargetMode="External"/><Relationship Id="rId11" Type="http://schemas.openxmlformats.org/officeDocument/2006/relationships/image" Target="media/image1.png"/><Relationship Id="rId55" Type="http://schemas.openxmlformats.org/officeDocument/2006/relationships/hyperlink" Target="https://icml.cc/virtual/2025/poster/40142" TargetMode="External"/><Relationship Id="rId10" Type="http://schemas.openxmlformats.org/officeDocument/2006/relationships/image" Target="media/image5.png"/><Relationship Id="rId54" Type="http://schemas.openxmlformats.org/officeDocument/2006/relationships/hyperlink" Target="https://neurips.cc/virtual/2025/loc/san-diego/session/128332" TargetMode="External"/><Relationship Id="rId13" Type="http://schemas.openxmlformats.org/officeDocument/2006/relationships/image" Target="media/image4.png"/><Relationship Id="rId12" Type="http://schemas.openxmlformats.org/officeDocument/2006/relationships/image" Target="media/image7.png"/><Relationship Id="rId56" Type="http://schemas.openxmlformats.org/officeDocument/2006/relationships/hyperlink" Target="https://www.hashmeta.ai/en/generative-ai/agentic-ai-news-updates" TargetMode="Externa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2.png"/><Relationship Id="rId19" Type="http://schemas.openxmlformats.org/officeDocument/2006/relationships/hyperlink" Target="https://medium.com/@cenrunzhe/gtc-2026-complete-breakdown-nvidias-1-trillion-ai-vision-4aa158339b2b" TargetMode="External"/><Relationship Id="rId18" Type="http://schemas.openxmlformats.org/officeDocument/2006/relationships/hyperlink" Target="https://www.infoq.com/news/2026/02/kimi-k25-sw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