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2026年黄金交易策略实战指南</w:t>
      </w:r>
    </w:p>
    <w:p>
      <w:pPr>
        <w:spacing w:after="600"/>
        <w:jc w:val="center"/>
      </w:pPr>
      <w:r>
        <w:rPr>
          <w:color w:val="646464"/>
          <w:sz w:val="24"/>
        </w:rPr>
        <w:t>基本面分析 + 技术分析 + 风险管理 + 实战策略</w:t>
      </w:r>
    </w:p>
    <w:p>
      <w:pPr>
        <w:pStyle w:val="Heading1Style"/>
      </w:pPr>
      <w:r>
        <w:t>目录</w:t>
      </w:r>
    </w:p>
    <w:p>
      <w:pPr>
        <w:pStyle w:val="ListStyle"/>
      </w:pPr>
      <w:r>
        <w:t xml:space="preserve">    一、2026年黄金市场宏观分析</w:t>
      </w:r>
    </w:p>
    <w:p>
      <w:pPr>
        <w:pStyle w:val="ListStyle"/>
      </w:pPr>
      <w:r>
        <w:t xml:space="preserve">    二、影响黄金价格的核心因素</w:t>
      </w:r>
    </w:p>
    <w:p>
      <w:pPr>
        <w:pStyle w:val="ListStyle"/>
      </w:pPr>
      <w:r>
        <w:t xml:space="preserve">    三、技术分析体系详解</w:t>
      </w:r>
    </w:p>
    <w:p>
      <w:pPr>
        <w:pStyle w:val="ListStyle"/>
      </w:pPr>
      <w:r>
        <w:t xml:space="preserve">    四、日内交易策略</w:t>
      </w:r>
    </w:p>
    <w:p>
      <w:pPr>
        <w:pStyle w:val="ListStyle"/>
      </w:pPr>
      <w:r>
        <w:t xml:space="preserve">    五、波段交易策略</w:t>
      </w:r>
    </w:p>
    <w:p>
      <w:pPr>
        <w:pStyle w:val="ListStyle"/>
      </w:pPr>
      <w:r>
        <w:t xml:space="preserve">    六、长线投资策略</w:t>
      </w:r>
    </w:p>
    <w:p>
      <w:pPr>
        <w:pStyle w:val="ListStyle"/>
      </w:pPr>
      <w:r>
        <w:t xml:space="preserve">    七、风险管理体系</w:t>
      </w:r>
    </w:p>
    <w:p>
      <w:pPr>
        <w:pStyle w:val="ListStyle"/>
      </w:pPr>
      <w:r>
        <w:t xml:space="preserve">    八、实战交易模板</w:t>
      </w:r>
    </w:p>
    <w:p>
      <w:pPr>
        <w:pStyle w:val="ListStyle"/>
      </w:pPr>
      <w:r>
        <w:t xml:space="preserve">    九、常见交易误区</w:t>
      </w:r>
    </w:p>
    <w:p>
      <w:pPr>
        <w:pStyle w:val="ListStyle"/>
      </w:pPr>
      <w:r>
        <w:t xml:space="preserve">    十、交易心理建设</w:t>
      </w:r>
    </w:p>
    <w:p>
      <w:r>
        <w:br w:type="page"/>
      </w:r>
    </w:p>
    <w:p>
      <w:pPr>
        <w:pStyle w:val="Heading1Style"/>
      </w:pPr>
      <w:r>
        <w:t>一、2026年黄金市场宏观分析</w:t>
      </w:r>
    </w:p>
    <w:p>
      <w:pPr>
        <w:pStyle w:val="Heading2Style"/>
      </w:pPr>
      <w:r>
        <w:t>1.1 市场整体格局</w:t>
      </w:r>
    </w:p>
    <w:p>
      <w:r>
        <w:t>2026年黄金市场呈现"高位震荡、中枢上移"的特征。支撑金价的核心逻辑在于全球央行持续购金（去美元化趋势）与美联储降息周期（实际利率下行）的共振效应。尽管短期可能因获利了结出现技术性回调，但长期上涨趋势未改。</w:t>
      </w:r>
    </w:p>
    <w:p>
      <w:pPr>
        <w:pStyle w:val="Heading2Style"/>
      </w:pPr>
      <w:r>
        <w:t>1.2 机构预测汇总</w:t>
      </w:r>
    </w:p>
    <w:p>
      <w:pPr>
        <w:pStyle w:val="ListStyle"/>
      </w:pPr>
      <w:r>
        <w:t>• 高盛：2026年底目标价 $5,200-5,500/盎司</w:t>
      </w:r>
    </w:p>
    <w:p>
      <w:pPr>
        <w:pStyle w:val="ListStyle"/>
      </w:pPr>
      <w:r>
        <w:t>• 摩根大通：维持超配评级，目标价 $5,300/盎司</w:t>
      </w:r>
    </w:p>
    <w:p>
      <w:pPr>
        <w:pStyle w:val="ListStyle"/>
      </w:pPr>
      <w:r>
        <w:t>• 花旗银行：预计全年均价 $4,800/盎司</w:t>
      </w:r>
    </w:p>
    <w:p>
      <w:pPr>
        <w:pStyle w:val="ListStyle"/>
      </w:pPr>
      <w:r>
        <w:t>• 瑞银：看涨至 $5,600/盎司，推荐战略性配置</w:t>
      </w:r>
    </w:p>
    <w:p>
      <w:pPr>
        <w:pStyle w:val="Heading2Style"/>
      </w:pPr>
      <w:r>
        <w:t>1.3 季度走势预测</w:t>
      </w:r>
    </w:p>
    <w:p>
      <w:pPr>
        <w:pStyle w:val="ListStyle"/>
      </w:pPr>
      <w:r>
        <w:t>• Q1（1-3月）：高位震荡，消化前期涨幅，支撑位 $4,500</w:t>
      </w:r>
    </w:p>
    <w:p>
      <w:pPr>
        <w:pStyle w:val="ListStyle"/>
      </w:pPr>
      <w:r>
        <w:t>• Q2（4-6月）：震荡上行，美联储降息预期升温，目标 $4,900</w:t>
      </w:r>
    </w:p>
    <w:p>
      <w:pPr>
        <w:pStyle w:val="ListStyle"/>
      </w:pPr>
      <w:r>
        <w:t>• Q3（7-9月）：主升浪开启，央行购金旺季，目标 $5,200</w:t>
      </w:r>
    </w:p>
    <w:p>
      <w:pPr>
        <w:pStyle w:val="ListStyle"/>
      </w:pPr>
      <w:r>
        <w:t>• Q4（10-12月）：冲高回落，年底获利了结，支撑位 $4,800</w:t>
      </w:r>
    </w:p>
    <w:p>
      <w:pPr>
        <w:pStyle w:val="HighlightStyle"/>
      </w:pPr>
      <w:r>
        <w:t>⚠️ 风险提示：地缘政治冲突升级、美联储政策转向、美元指数大幅波动是主要风险点。</w:t>
      </w:r>
    </w:p>
    <w:p>
      <w:pPr>
        <w:pStyle w:val="Heading1Style"/>
      </w:pPr>
      <w:r>
        <w:t>二、影响黄金价格的核心因素</w:t>
      </w:r>
    </w:p>
    <w:p>
      <w:pPr>
        <w:pStyle w:val="Heading2Style"/>
      </w:pPr>
      <w:r>
        <w:t>2.1 货币政策与实际利率</w:t>
      </w:r>
    </w:p>
    <w:p>
      <w:r>
        <w:t>黄金价格与实际利率呈强负相关。当美联储进入降息周期，实际利率下行，黄金的持有成本降低，价格通常上涨。</w:t>
      </w:r>
    </w:p>
    <w:p>
      <w:pPr>
        <w:pStyle w:val="ListStyle"/>
      </w:pPr>
      <w:r>
        <w:t>• 关注美联储FOMC会议（每年8次）</w:t>
      </w:r>
    </w:p>
    <w:p>
      <w:pPr>
        <w:pStyle w:val="ListStyle"/>
      </w:pPr>
      <w:r>
        <w:t>• CPI、PCE通胀数据</w:t>
      </w:r>
    </w:p>
    <w:p>
      <w:pPr>
        <w:pStyle w:val="ListStyle"/>
      </w:pPr>
      <w:r>
        <w:t>• 非农就业报告</w:t>
      </w:r>
    </w:p>
    <w:p>
      <w:pPr>
        <w:pStyle w:val="ListStyle"/>
      </w:pPr>
      <w:r>
        <w:t>• 10年期美债收益率</w:t>
      </w:r>
    </w:p>
    <w:p>
      <w:pPr>
        <w:pStyle w:val="Heading2Style"/>
      </w:pPr>
      <w:r>
        <w:t>2.2 美元指数</w:t>
      </w:r>
    </w:p>
    <w:p>
      <w:r>
        <w:t>黄金以美元计价，与美元指数通常呈负相关关系。美元走弱时，以其他货币计价的黄金相对便宜，需求增加。</w:t>
      </w:r>
    </w:p>
    <w:p>
      <w:pPr>
        <w:pStyle w:val="Heading2Style"/>
      </w:pPr>
      <w:r>
        <w:t>2.3 央行购金趋势</w:t>
      </w:r>
    </w:p>
    <w:p>
      <w:r>
        <w:t>全球央行持续增持黄金储备，特别是新兴市场国家的去美元化进程，为金价提供长期支撑。2025年全球央行购金量创历史新高，2026年预计维持强劲势头。</w:t>
      </w:r>
    </w:p>
    <w:p>
      <w:pPr>
        <w:pStyle w:val="Heading2Style"/>
      </w:pPr>
      <w:r>
        <w:t>2.4 地缘政治风险</w:t>
      </w:r>
    </w:p>
    <w:p>
      <w:r>
        <w:t>黄金作为传统避险资产，在地缘冲突、战争风险升温时往往获得避险买盘。</w:t>
      </w:r>
    </w:p>
    <w:p>
      <w:pPr>
        <w:pStyle w:val="Heading2Style"/>
      </w:pPr>
      <w:r>
        <w:t>2.5 通胀预期</w:t>
      </w:r>
    </w:p>
    <w:p>
      <w:r>
        <w:t>黄金被视为对抗通胀的硬通货。当通胀预期升温时，黄金的保值需求增加。</w:t>
      </w:r>
    </w:p>
    <w:p>
      <w:pPr>
        <w:pStyle w:val="Heading1Style"/>
      </w:pPr>
      <w:r>
        <w:t>三、技术分析体系详解</w:t>
      </w:r>
    </w:p>
    <w:p>
      <w:pPr>
        <w:pStyle w:val="Heading2Style"/>
      </w:pPr>
      <w:r>
        <w:t>3.1 多周期分析框架</w:t>
      </w:r>
    </w:p>
    <w:p>
      <w:pPr>
        <w:pStyle w:val="ListStyle"/>
      </w:pPr>
      <w:r>
        <w:t>• 日线图（D1）：判断趋势方向和关键支撑阻力位</w:t>
      </w:r>
    </w:p>
    <w:p>
      <w:pPr>
        <w:pStyle w:val="ListStyle"/>
      </w:pPr>
      <w:r>
        <w:t>• 4小时图（H4）：寻找交易机会和入场时机</w:t>
      </w:r>
    </w:p>
    <w:p>
      <w:pPr>
        <w:pStyle w:val="ListStyle"/>
      </w:pPr>
      <w:r>
        <w:t>• 1小时图（H1）：精确入场点位和止损设置</w:t>
      </w:r>
    </w:p>
    <w:p>
      <w:pPr>
        <w:pStyle w:val="ListStyle"/>
      </w:pPr>
      <w:r>
        <w:t>• 15分钟图（M15）：超短线交易的精细化操作</w:t>
      </w:r>
    </w:p>
    <w:p>
      <w:pPr>
        <w:pStyle w:val="Heading2Style"/>
      </w:pPr>
      <w:r>
        <w:t>3.2 核心技术指标</w:t>
      </w:r>
    </w:p>
    <w:p>
      <w:pPr>
        <w:pStyle w:val="Heading3Style"/>
      </w:pPr>
      <w:r>
        <w:t>3.2.1 移动平均线（MA）</w:t>
      </w:r>
    </w:p>
    <w:p>
      <w:pPr>
        <w:pStyle w:val="ListStyle"/>
      </w:pPr>
      <w:r>
        <w:t>• MA5/MA10：短期趋势判断，金叉做多，死叉做空</w:t>
      </w:r>
    </w:p>
    <w:p>
      <w:pPr>
        <w:pStyle w:val="ListStyle"/>
      </w:pPr>
      <w:r>
        <w:t>• MA20/MA60：中期趋势，MA60作为多空分水岭</w:t>
      </w:r>
    </w:p>
    <w:p>
      <w:pPr>
        <w:pStyle w:val="ListStyle"/>
      </w:pPr>
      <w:r>
        <w:t>• MA200：长期趋势线，价格在上方为牛市，下方为熊市</w:t>
      </w:r>
    </w:p>
    <w:p>
      <w:pPr>
        <w:pStyle w:val="Heading3Style"/>
      </w:pPr>
      <w:r>
        <w:t>3.2.2 相对强弱指标（RSI）</w:t>
      </w:r>
    </w:p>
    <w:p>
      <w:pPr>
        <w:pStyle w:val="ListStyle"/>
      </w:pPr>
      <w:r>
        <w:t>• RSI &gt; 70：超买区域，警惕回调风险</w:t>
      </w:r>
    </w:p>
    <w:p>
      <w:pPr>
        <w:pStyle w:val="ListStyle"/>
      </w:pPr>
      <w:r>
        <w:t>• RSI &lt; 30：超卖区域，关注反弹机会</w:t>
      </w:r>
    </w:p>
    <w:p>
      <w:pPr>
        <w:pStyle w:val="ListStyle"/>
      </w:pPr>
      <w:r>
        <w:t>• RSI 背离：趋势可能反转的重要信号</w:t>
      </w:r>
    </w:p>
    <w:p>
      <w:pPr>
        <w:pStyle w:val="Heading3Style"/>
      </w:pPr>
      <w:r>
        <w:t>3.2.3 MACD指标</w:t>
      </w:r>
    </w:p>
    <w:p>
      <w:pPr>
        <w:pStyle w:val="ListStyle"/>
      </w:pPr>
      <w:r>
        <w:t>• 金叉：DIF上穿DEA，多头信号</w:t>
      </w:r>
    </w:p>
    <w:p>
      <w:pPr>
        <w:pStyle w:val="ListStyle"/>
      </w:pPr>
      <w:r>
        <w:t>• 死叉：DIF下穿DEA，空头信号</w:t>
      </w:r>
    </w:p>
    <w:p>
      <w:pPr>
        <w:pStyle w:val="ListStyle"/>
      </w:pPr>
      <w:r>
        <w:t>• 顶背离/底背离：趋势反转预警</w:t>
      </w:r>
    </w:p>
    <w:p>
      <w:pPr>
        <w:pStyle w:val="Heading3Style"/>
      </w:pPr>
      <w:r>
        <w:t>3.2.4 布林带（Bollinger Bands）</w:t>
      </w:r>
    </w:p>
    <w:p>
      <w:pPr>
        <w:pStyle w:val="ListStyle"/>
      </w:pPr>
      <w:r>
        <w:t>• 上轨：压力位，触及可考虑做空</w:t>
      </w:r>
    </w:p>
    <w:p>
      <w:pPr>
        <w:pStyle w:val="ListStyle"/>
      </w:pPr>
      <w:r>
        <w:t>• 中轨：MA20，趋势方向判断</w:t>
      </w:r>
    </w:p>
    <w:p>
      <w:pPr>
        <w:pStyle w:val="ListStyle"/>
      </w:pPr>
      <w:r>
        <w:t>• 下轨：支撑位，触及可考虑做多</w:t>
      </w:r>
    </w:p>
    <w:p>
      <w:pPr>
        <w:pStyle w:val="Heading2Style"/>
      </w:pPr>
      <w:r>
        <w:t>3.3 K线形态识别</w:t>
      </w:r>
    </w:p>
    <w:p>
      <w:pPr>
        <w:pStyle w:val="Heading3Style"/>
      </w:pPr>
      <w:r>
        <w:t>反转形态：</w:t>
      </w:r>
    </w:p>
    <w:p>
      <w:pPr>
        <w:pStyle w:val="ListStyle"/>
      </w:pPr>
      <w:r>
        <w:t>• 锤子线/上吊线：底部/顶部反转信号</w:t>
      </w:r>
    </w:p>
    <w:p>
      <w:pPr>
        <w:pStyle w:val="ListStyle"/>
      </w:pPr>
      <w:r>
        <w:t>• 吞没形态：强烈的反转信号</w:t>
      </w:r>
    </w:p>
    <w:p>
      <w:pPr>
        <w:pStyle w:val="ListStyle"/>
      </w:pPr>
      <w:r>
        <w:t>• 晨星/暮星：三天反转形态，可靠性高</w:t>
      </w:r>
    </w:p>
    <w:p>
      <w:pPr>
        <w:pStyle w:val="ListStyle"/>
      </w:pPr>
      <w:r>
        <w:t>• 头肩顶/头肩底：经典趋势反转形态</w:t>
      </w:r>
    </w:p>
    <w:p>
      <w:pPr>
        <w:pStyle w:val="ListStyle"/>
      </w:pPr>
      <w:r>
        <w:t>• 双顶/双底：M头/W底形态</w:t>
      </w:r>
    </w:p>
    <w:p>
      <w:pPr>
        <w:pStyle w:val="Heading3Style"/>
      </w:pPr>
      <w:r>
        <w:t>持续形态：</w:t>
      </w:r>
    </w:p>
    <w:p>
      <w:pPr>
        <w:pStyle w:val="ListStyle"/>
      </w:pPr>
      <w:r>
        <w:t>• 三角形整理：上升三角形看涨，下降三角形看跌</w:t>
      </w:r>
    </w:p>
    <w:p>
      <w:pPr>
        <w:pStyle w:val="ListStyle"/>
      </w:pPr>
      <w:r>
        <w:t>• 旗形/三角旗形：趋势持续信号</w:t>
      </w:r>
    </w:p>
    <w:p>
      <w:pPr>
        <w:pStyle w:val="ListStyle"/>
      </w:pPr>
      <w:r>
        <w:t>• 矩形整理：箱体震荡，突破后沿趋势方向运行</w:t>
      </w:r>
    </w:p>
    <w:p>
      <w:pPr>
        <w:pStyle w:val="Heading2Style"/>
      </w:pPr>
      <w:r>
        <w:t>3.4 支撑与阻力位判断</w:t>
      </w:r>
    </w:p>
    <w:p>
      <w:pPr>
        <w:pStyle w:val="ListStyle"/>
      </w:pPr>
      <w:r>
        <w:t>• 历史高低点：前期重要的价格高点和低点</w:t>
      </w:r>
    </w:p>
    <w:p>
      <w:pPr>
        <w:pStyle w:val="ListStyle"/>
      </w:pPr>
      <w:r>
        <w:t>• 整数关口：如 $4,500、$5,000 等心理关口</w:t>
      </w:r>
    </w:p>
    <w:p>
      <w:pPr>
        <w:pStyle w:val="ListStyle"/>
      </w:pPr>
      <w:r>
        <w:t>• 斐波那契回撤位：23.6%、38.2%、50%、61.8%</w:t>
      </w:r>
    </w:p>
    <w:p>
      <w:pPr>
        <w:pStyle w:val="ListStyle"/>
      </w:pPr>
      <w:r>
        <w:t>• 趋势线：连接高点或低点形成的趋势通道</w:t>
      </w:r>
    </w:p>
    <w:p>
      <w:pPr>
        <w:pStyle w:val="Heading1Style"/>
      </w:pPr>
      <w:r>
        <w:t>四、日内交易策略</w:t>
      </w:r>
    </w:p>
    <w:p>
      <w:pPr>
        <w:pStyle w:val="Heading2Style"/>
      </w:pPr>
      <w:r>
        <w:t>4.1 日内交易的核心原则</w:t>
      </w:r>
    </w:p>
    <w:p>
      <w:r>
        <w:t>日内交易追求"高频机会+不留隔夜风险"，黄金市场波动充足、流动性极强，是日内交易的理想标的。但要求严格的执行力和纪律性。</w:t>
      </w:r>
    </w:p>
    <w:p>
      <w:pPr>
        <w:pStyle w:val="Heading2Style"/>
      </w:pPr>
      <w:r>
        <w:t>4.2 最佳交易时段</w:t>
      </w:r>
    </w:p>
    <w:p>
      <w:pPr>
        <w:pStyle w:val="ListStyle"/>
      </w:pPr>
      <w:r>
        <w:t>• 亚盘（7:00-14:00）：波动相对较小，适合观察和准备</w:t>
      </w:r>
    </w:p>
    <w:p>
      <w:pPr>
        <w:pStyle w:val="ListStyle"/>
      </w:pPr>
      <w:r>
        <w:t>• 欧盘（14:00-20:30）：波动加大，开始出现交易机会</w:t>
      </w:r>
    </w:p>
    <w:p>
      <w:pPr>
        <w:pStyle w:val="ListStyle"/>
      </w:pPr>
      <w:r>
        <w:t>• 美盘（20:30-5:00）：波动最大，数据公布密集，主交易时段</w:t>
      </w:r>
    </w:p>
    <w:p>
      <w:pPr>
        <w:pStyle w:val="HighlightStyle"/>
      </w:pPr>
      <w:r>
        <w:t>⭐ 重点关注：20:30-22:00 美国数据公布时段，波动最为剧烈</w:t>
      </w:r>
    </w:p>
    <w:p>
      <w:pPr>
        <w:pStyle w:val="Heading2Style"/>
      </w:pPr>
      <w:r>
        <w:t>4.3 突破交易策略</w:t>
      </w:r>
    </w:p>
    <w:p>
      <w:r>
        <w:t>策略逻辑：价格突破关键支撑阻力位后跟进交易</w:t>
      </w:r>
    </w:p>
    <w:p>
      <w:pPr>
        <w:pStyle w:val="ListStyle"/>
      </w:pPr>
      <w:r>
        <w:t>• 入场条件：实体K线突破关键价位并站稳</w:t>
      </w:r>
    </w:p>
    <w:p>
      <w:pPr>
        <w:pStyle w:val="ListStyle"/>
      </w:pPr>
      <w:r>
        <w:t>• 止损设置：突破位反向10-15美元</w:t>
      </w:r>
    </w:p>
    <w:p>
      <w:pPr>
        <w:pStyle w:val="ListStyle"/>
      </w:pPr>
      <w:r>
        <w:t>• 止盈目标：1:2或1:3的盈亏比</w:t>
      </w:r>
    </w:p>
    <w:p>
      <w:pPr>
        <w:pStyle w:val="ListStyle"/>
      </w:pPr>
      <w:r>
        <w:t>• 过滤条件：配合成交量放大确认</w:t>
      </w:r>
    </w:p>
    <w:p>
      <w:pPr>
        <w:pStyle w:val="Heading2Style"/>
      </w:pPr>
      <w:r>
        <w:t>4.4 回调交易策略</w:t>
      </w:r>
    </w:p>
    <w:p>
      <w:r>
        <w:t>策略逻辑：趋势确立后，回调至支撑阻力位入场</w:t>
      </w:r>
    </w:p>
    <w:p>
      <w:pPr>
        <w:pStyle w:val="ListStyle"/>
      </w:pPr>
      <w:r>
        <w:t>• 入场条件：回调至MA20/MA60或斐波那契回撤位</w:t>
      </w:r>
    </w:p>
    <w:p>
      <w:pPr>
        <w:pStyle w:val="ListStyle"/>
      </w:pPr>
      <w:r>
        <w:t>• 止损设置：支撑阻力位外5-10美元</w:t>
      </w:r>
    </w:p>
    <w:p>
      <w:pPr>
        <w:pStyle w:val="ListStyle"/>
      </w:pPr>
      <w:r>
        <w:t>• 止盈目标：前期高低点或整数关口</w:t>
      </w:r>
    </w:p>
    <w:p>
      <w:pPr>
        <w:pStyle w:val="ListStyle"/>
      </w:pPr>
      <w:r>
        <w:t>• 优势：盈亏比高，胜率相对稳定</w:t>
      </w:r>
    </w:p>
    <w:p>
      <w:pPr>
        <w:pStyle w:val="Heading2Style"/>
      </w:pPr>
      <w:r>
        <w:t>4.5 区间交易策略</w:t>
      </w:r>
    </w:p>
    <w:p>
      <w:r>
        <w:t>策略逻辑：在震荡区间内高抛低吸</w:t>
      </w:r>
    </w:p>
    <w:p>
      <w:pPr>
        <w:pStyle w:val="ListStyle"/>
      </w:pPr>
      <w:r>
        <w:t>• 入场条件：触及区间上轨做空，触及下轨做多</w:t>
      </w:r>
    </w:p>
    <w:p>
      <w:pPr>
        <w:pStyle w:val="ListStyle"/>
      </w:pPr>
      <w:r>
        <w:t>• 止损设置：区间外5-8美元</w:t>
      </w:r>
    </w:p>
    <w:p>
      <w:pPr>
        <w:pStyle w:val="ListStyle"/>
      </w:pPr>
      <w:r>
        <w:t>• 止盈目标：区间中部或对侧轨道</w:t>
      </w:r>
    </w:p>
    <w:p>
      <w:pPr>
        <w:pStyle w:val="ListStyle"/>
      </w:pPr>
      <w:r>
        <w:t>• 注意：一旦区间突破，立即止损并转向突破策略</w:t>
      </w:r>
    </w:p>
    <w:p>
      <w:pPr>
        <w:pStyle w:val="Heading2Style"/>
      </w:pPr>
      <w:r>
        <w:t>4.6 新闻交易策略</w:t>
      </w:r>
    </w:p>
    <w:p>
      <w:r>
        <w:t>策略逻辑：重要数据公布后跟随市场情绪交易</w:t>
      </w:r>
    </w:p>
    <w:p>
      <w:pPr>
        <w:pStyle w:val="ListStyle"/>
      </w:pPr>
      <w:r>
        <w:t>• 关注数据：非农、CPI、美联储决议、GDP</w:t>
      </w:r>
    </w:p>
    <w:p>
      <w:pPr>
        <w:pStyle w:val="ListStyle"/>
      </w:pPr>
      <w:r>
        <w:t>• 操作方法：数据公布后等待15分钟，趋势确立后跟进</w:t>
      </w:r>
    </w:p>
    <w:p>
      <w:pPr>
        <w:pStyle w:val="ListStyle"/>
      </w:pPr>
      <w:r>
        <w:t>• 风险提示：数据行情波动极大，建议轻仓操作</w:t>
      </w:r>
    </w:p>
    <w:p>
      <w:pPr>
        <w:pStyle w:val="Heading1Style"/>
      </w:pPr>
      <w:r>
        <w:t>五、波段交易策略</w:t>
      </w:r>
    </w:p>
    <w:p>
      <w:pPr>
        <w:pStyle w:val="Heading2Style"/>
      </w:pPr>
      <w:r>
        <w:t>5.1 波段交易的特点</w:t>
      </w:r>
    </w:p>
    <w:p>
      <w:r>
        <w:t>波段交易持仓时间通常为3-15个交易日，追求捕捉中期趋势行情，交易频率较低但单笔盈利空间较大，适合时间相对有限的交易者。</w:t>
      </w:r>
    </w:p>
    <w:p>
      <w:pPr>
        <w:pStyle w:val="Heading2Style"/>
      </w:pPr>
      <w:r>
        <w:t>5.2 趋势跟踪策略</w:t>
      </w:r>
    </w:p>
    <w:p>
      <w:pPr>
        <w:pStyle w:val="ListStyle"/>
      </w:pPr>
      <w:r>
        <w:t>• 趋势确认：MA60方向判断大趋势，价格在MA60上方做多，下方做空</w:t>
      </w:r>
    </w:p>
    <w:p>
      <w:pPr>
        <w:pStyle w:val="ListStyle"/>
      </w:pPr>
      <w:r>
        <w:t>• 入场信号：MA5金叉MA20，配合RSI在50以上</w:t>
      </w:r>
    </w:p>
    <w:p>
      <w:pPr>
        <w:pStyle w:val="ListStyle"/>
      </w:pPr>
      <w:r>
        <w:t>• 止损设置：最近的波段低点下方15-20美元</w:t>
      </w:r>
    </w:p>
    <w:p>
      <w:pPr>
        <w:pStyle w:val="ListStyle"/>
      </w:pPr>
      <w:r>
        <w:t>• 止盈方式：移动止损追踪趋势，或达到前期重要阻力位</w:t>
      </w:r>
    </w:p>
    <w:p>
      <w:pPr>
        <w:pStyle w:val="Heading2Style"/>
      </w:pPr>
      <w:r>
        <w:t>5.3 形态交易策略</w:t>
      </w:r>
    </w:p>
    <w:p>
      <w:r>
        <w:t>重点关注日线级别的经典形态：</w:t>
      </w:r>
    </w:p>
    <w:p>
      <w:pPr>
        <w:pStyle w:val="ListStyle"/>
      </w:pPr>
      <w:r>
        <w:t>• 头肩底/头肩顶：形态完成后入场，目标为形态高度</w:t>
      </w:r>
    </w:p>
    <w:p>
      <w:pPr>
        <w:pStyle w:val="ListStyle"/>
      </w:pPr>
      <w:r>
        <w:t>• 双底/双顶：颈线突破后入场，目标为形态高度</w:t>
      </w:r>
    </w:p>
    <w:p>
      <w:pPr>
        <w:pStyle w:val="ListStyle"/>
      </w:pPr>
      <w:r>
        <w:t>• 三角形突破：三角形末端突破后跟进</w:t>
      </w:r>
    </w:p>
    <w:p>
      <w:pPr>
        <w:pStyle w:val="ListStyle"/>
      </w:pPr>
      <w:r>
        <w:t>• 箱体突破：突破箱体上下沿后跟进交易</w:t>
      </w:r>
    </w:p>
    <w:p>
      <w:pPr>
        <w:pStyle w:val="Heading2Style"/>
      </w:pPr>
      <w:r>
        <w:t>5.4 周线级别策略</w:t>
      </w:r>
    </w:p>
    <w:p>
      <w:r>
        <w:t>适合大资金配置，持仓周期1-3个月：</w:t>
      </w:r>
    </w:p>
    <w:p>
      <w:pPr>
        <w:pStyle w:val="ListStyle"/>
      </w:pPr>
      <w:r>
        <w:t>• 周线MA200判断长期趋势</w:t>
      </w:r>
    </w:p>
    <w:p>
      <w:pPr>
        <w:pStyle w:val="ListStyle"/>
      </w:pPr>
      <w:r>
        <w:t>• 周线RSI低于30关注做多机会，高于70警惕见顶</w:t>
      </w:r>
    </w:p>
    <w:p>
      <w:pPr>
        <w:pStyle w:val="ListStyle"/>
      </w:pPr>
      <w:r>
        <w:t>• 周线级别K线形态反转信号可靠性更高</w:t>
      </w:r>
    </w:p>
    <w:p>
      <w:pPr>
        <w:pStyle w:val="ListStyle"/>
      </w:pPr>
      <w:r>
        <w:t>• 建议仓位：总资金的10%-20%</w:t>
      </w:r>
    </w:p>
    <w:p>
      <w:pPr>
        <w:pStyle w:val="Heading1Style"/>
      </w:pPr>
      <w:r>
        <w:t>六、长线投资策略</w:t>
      </w:r>
    </w:p>
    <w:p>
      <w:pPr>
        <w:pStyle w:val="Heading2Style"/>
      </w:pPr>
      <w:r>
        <w:t>6.1 战略配置思路</w:t>
      </w:r>
    </w:p>
    <w:p>
      <w:r>
        <w:t>黄金作为资产配置的"压舱石"，建议配置比例为总资产的5%-15%。2026年在美联储降息周期和央行购金的双重驱动下，可适当提高配置比例至10%-20%。</w:t>
      </w:r>
    </w:p>
    <w:p>
      <w:pPr>
        <w:pStyle w:val="Heading2Style"/>
      </w:pPr>
      <w:r>
        <w:t>6.2 定投策略</w:t>
      </w:r>
    </w:p>
    <w:p>
      <w:pPr>
        <w:pStyle w:val="ListStyle"/>
      </w:pPr>
      <w:r>
        <w:t>• 定投方式：每月固定金额买入，忽略短期波动</w:t>
      </w:r>
    </w:p>
    <w:p>
      <w:pPr>
        <w:pStyle w:val="ListStyle"/>
      </w:pPr>
      <w:r>
        <w:t>• 适合人群：普通投资者，无需盯盘</w:t>
      </w:r>
    </w:p>
    <w:p>
      <w:pPr>
        <w:pStyle w:val="ListStyle"/>
      </w:pPr>
      <w:r>
        <w:t>• 投资标的：实物黄金、黄金ETF、纸黄金</w:t>
      </w:r>
    </w:p>
    <w:p>
      <w:pPr>
        <w:pStyle w:val="ListStyle"/>
      </w:pPr>
      <w:r>
        <w:t>• 优势：摊薄成本，长期复利效应</w:t>
      </w:r>
    </w:p>
    <w:p>
      <w:pPr>
        <w:pStyle w:val="Heading2Style"/>
      </w:pPr>
      <w:r>
        <w:t>6.3 逆向投资策略</w:t>
      </w:r>
    </w:p>
    <w:p>
      <w:pPr>
        <w:pStyle w:val="ListStyle"/>
      </w:pPr>
      <w:r>
        <w:t>• 在市场恐慌、金价大幅回调时分批建仓</w:t>
      </w:r>
    </w:p>
    <w:p>
      <w:pPr>
        <w:pStyle w:val="ListStyle"/>
      </w:pPr>
      <w:r>
        <w:t>• 在市场疯狂、多头情绪极端时分批止盈</w:t>
      </w:r>
    </w:p>
    <w:p>
      <w:pPr>
        <w:pStyle w:val="ListStyle"/>
      </w:pPr>
      <w:r>
        <w:t>• 需要强大的耐心和逆向思维能力</w:t>
      </w:r>
    </w:p>
    <w:p>
      <w:pPr>
        <w:pStyle w:val="Heading1Style"/>
      </w:pPr>
      <w:r>
        <w:t>七、风险管理体系</w:t>
      </w:r>
    </w:p>
    <w:p>
      <w:pPr>
        <w:pStyle w:val="Heading2Style"/>
      </w:pPr>
      <w:r>
        <w:t>7.1 仓位管理原则</w:t>
      </w:r>
    </w:p>
    <w:p>
      <w:pPr>
        <w:pStyle w:val="HighlightStyle"/>
      </w:pPr>
      <w:r>
        <w:t>⭐ 黄金法则：任何单笔交易的亏损不超过总资金的1%-2%</w:t>
      </w:r>
    </w:p>
    <w:p>
      <w:pPr>
        <w:pStyle w:val="ListStyle"/>
      </w:pPr>
      <w:r>
        <w:t>• 日内交易：单笔仓位不超过总资金的5%</w:t>
      </w:r>
    </w:p>
    <w:p>
      <w:pPr>
        <w:pStyle w:val="ListStyle"/>
      </w:pPr>
      <w:r>
        <w:t>• 波段交易：单笔仓位不超过总资金的10%</w:t>
      </w:r>
    </w:p>
    <w:p>
      <w:pPr>
        <w:pStyle w:val="ListStyle"/>
      </w:pPr>
      <w:r>
        <w:t>• 长线投资：单笔仓位不超过总资金的20%</w:t>
      </w:r>
    </w:p>
    <w:p>
      <w:pPr>
        <w:pStyle w:val="ListStyle"/>
      </w:pPr>
      <w:r>
        <w:t>• 总敞口：任何时候总仓位不超过总资金的50%</w:t>
      </w:r>
    </w:p>
    <w:p>
      <w:pPr>
        <w:pStyle w:val="Heading2Style"/>
      </w:pPr>
      <w:r>
        <w:t>7.2 止损设置方法</w:t>
      </w:r>
    </w:p>
    <w:p>
      <w:pPr>
        <w:pStyle w:val="ListStyle"/>
      </w:pPr>
      <w:r>
        <w:t>• 固定止损：入场前设定固定止损金额</w:t>
      </w:r>
    </w:p>
    <w:p>
      <w:pPr>
        <w:pStyle w:val="ListStyle"/>
      </w:pPr>
      <w:r>
        <w:t>• 技术止损：设置在关键支撑阻力位外侧</w:t>
      </w:r>
    </w:p>
    <w:p>
      <w:pPr>
        <w:pStyle w:val="ListStyle"/>
      </w:pPr>
      <w:r>
        <w:t>• 移动止损：盈利后逐步上移止损，锁定利润</w:t>
      </w:r>
    </w:p>
    <w:p>
      <w:pPr>
        <w:pStyle w:val="ListStyle"/>
      </w:pPr>
      <w:r>
        <w:t>• 时间止损：持仓一定时间未达预期则平仓</w:t>
      </w:r>
    </w:p>
    <w:p>
      <w:pPr>
        <w:pStyle w:val="HighlightStyle"/>
      </w:pPr>
      <w:r>
        <w:t>⚠️ 重要：止损必须在入场前设定，严格执行！</w:t>
      </w:r>
    </w:p>
    <w:p>
      <w:pPr>
        <w:pStyle w:val="Heading2Style"/>
      </w:pPr>
      <w:r>
        <w:t>7.3 止盈策略</w:t>
      </w:r>
    </w:p>
    <w:p>
      <w:pPr>
        <w:pStyle w:val="ListStyle"/>
      </w:pPr>
      <w:r>
        <w:t>• 目标止盈：设定固定盈利目标</w:t>
      </w:r>
    </w:p>
    <w:p>
      <w:pPr>
        <w:pStyle w:val="ListStyle"/>
      </w:pPr>
      <w:r>
        <w:t>• 分批止盈：达到第一目标平半仓，剩余持仓移动止损</w:t>
      </w:r>
    </w:p>
    <w:p>
      <w:pPr>
        <w:pStyle w:val="ListStyle"/>
      </w:pPr>
      <w:r>
        <w:t>• 技术止盈：遇到关键支撑阻力位止盈</w:t>
      </w:r>
    </w:p>
    <w:p>
      <w:pPr>
        <w:pStyle w:val="ListStyle"/>
      </w:pPr>
      <w:r>
        <w:t>• 追踪止盈：使用移动止损锁定趋势利润</w:t>
      </w:r>
    </w:p>
    <w:p>
      <w:pPr>
        <w:pStyle w:val="Heading2Style"/>
      </w:pPr>
      <w:r>
        <w:t>7.4 风险控制 Checklist</w:t>
      </w:r>
    </w:p>
    <w:p>
      <w:r>
        <w:t>交易前检查：</w:t>
      </w:r>
    </w:p>
    <w:p>
      <w:pPr>
        <w:pStyle w:val="ListStyle"/>
      </w:pPr>
      <w:r>
        <w:t>• 单笔风险是否控制在2%以内？</w:t>
      </w:r>
    </w:p>
    <w:p>
      <w:pPr>
        <w:pStyle w:val="ListStyle"/>
      </w:pPr>
      <w:r>
        <w:t>• 止损位是否合理并已设置？</w:t>
      </w:r>
    </w:p>
    <w:p>
      <w:pPr>
        <w:pStyle w:val="ListStyle"/>
      </w:pPr>
      <w:r>
        <w:t>• 盈亏比是否大于1:1.5？</w:t>
      </w:r>
    </w:p>
    <w:p>
      <w:pPr>
        <w:pStyle w:val="ListStyle"/>
      </w:pPr>
      <w:r>
        <w:t>• 总仓位是否在50%以下？</w:t>
      </w:r>
    </w:p>
    <w:p>
      <w:pPr>
        <w:pStyle w:val="ListStyle"/>
      </w:pPr>
      <w:r>
        <w:t>• 是否避开重大数据公布前15分钟？</w:t>
      </w:r>
    </w:p>
    <w:p>
      <w:pPr>
        <w:pStyle w:val="Heading1Style"/>
      </w:pPr>
      <w:r>
        <w:t>八、实战交易模板</w:t>
      </w:r>
    </w:p>
    <w:p>
      <w:pPr>
        <w:pStyle w:val="Heading2Style"/>
      </w:pPr>
      <w:r>
        <w:t>8.1 日内交易实战模板</w:t>
      </w:r>
    </w:p>
    <w:p>
      <w:pPr>
        <w:pStyle w:val="Heading3Style"/>
      </w:pPr>
      <w:r>
        <w:t>模板一：突破交易</w:t>
      </w:r>
    </w:p>
    <w:p>
      <w:r>
        <w:t>时间框架：H1 + M15</w:t>
      </w:r>
    </w:p>
    <w:p>
      <w:pPr>
        <w:pStyle w:val="ListStyle"/>
      </w:pPr>
      <w:r>
        <w:t>1. H1图识别关键支撑阻力位</w:t>
      </w:r>
    </w:p>
    <w:p>
      <w:pPr>
        <w:pStyle w:val="ListStyle"/>
      </w:pPr>
      <w:r>
        <w:t>2. M15图等待价格测试该位置</w:t>
      </w:r>
    </w:p>
    <w:p>
      <w:pPr>
        <w:pStyle w:val="ListStyle"/>
      </w:pPr>
      <w:r>
        <w:t>3. 实体K线突破后入场（收盘价确认）</w:t>
      </w:r>
    </w:p>
    <w:p>
      <w:pPr>
        <w:pStyle w:val="ListStyle"/>
      </w:pPr>
      <w:r>
        <w:t>4. 止损：突破位反向10美元</w:t>
      </w:r>
    </w:p>
    <w:p>
      <w:pPr>
        <w:pStyle w:val="ListStyle"/>
      </w:pPr>
      <w:r>
        <w:t>5. 止盈：第一目标15美元，第二目标30美元</w:t>
      </w:r>
    </w:p>
    <w:p>
      <w:pPr>
        <w:pStyle w:val="ListStyle"/>
      </w:pPr>
      <w:r>
        <w:t>6. 盈亏比：1:1.5 ~ 1:3</w:t>
      </w:r>
    </w:p>
    <w:p>
      <w:pPr>
        <w:pStyle w:val="Heading3Style"/>
      </w:pPr>
      <w:r>
        <w:t>模板二：回调做多（上升趋势）</w:t>
      </w:r>
    </w:p>
    <w:p>
      <w:r>
        <w:t>时间框架：H4 + H1</w:t>
      </w:r>
    </w:p>
    <w:p>
      <w:pPr>
        <w:pStyle w:val="ListStyle"/>
      </w:pPr>
      <w:r>
        <w:t>1. H4图确认上升趋势（MA20向上，价格在MA20上方）</w:t>
      </w:r>
    </w:p>
    <w:p>
      <w:pPr>
        <w:pStyle w:val="ListStyle"/>
      </w:pPr>
      <w:r>
        <w:t>2. H1图等待价格回调至MA20或38.2%回撤位</w:t>
      </w:r>
    </w:p>
    <w:p>
      <w:pPr>
        <w:pStyle w:val="ListStyle"/>
      </w:pPr>
      <w:r>
        <w:t>3. 出现看涨K线形态（锤子线、吞没等）后入场</w:t>
      </w:r>
    </w:p>
    <w:p>
      <w:pPr>
        <w:pStyle w:val="ListStyle"/>
      </w:pPr>
      <w:r>
        <w:t>4. 止损：回调低点下方8-10美元</w:t>
      </w:r>
    </w:p>
    <w:p>
      <w:pPr>
        <w:pStyle w:val="ListStyle"/>
      </w:pPr>
      <w:r>
        <w:t>5. 止盈：前期高点或下一个阻力位</w:t>
      </w:r>
    </w:p>
    <w:p>
      <w:pPr>
        <w:pStyle w:val="Heading2Style"/>
      </w:pPr>
      <w:r>
        <w:t>8.2 波段交易实战模板</w:t>
      </w:r>
    </w:p>
    <w:p>
      <w:pPr>
        <w:pStyle w:val="Heading3Style"/>
      </w:pPr>
      <w:r>
        <w:t>模板：趋势跟踪</w:t>
      </w:r>
    </w:p>
    <w:p>
      <w:r>
        <w:t>时间框架：D1 + H4</w:t>
      </w:r>
    </w:p>
    <w:p>
      <w:pPr>
        <w:pStyle w:val="ListStyle"/>
      </w:pPr>
      <w:r>
        <w:t>1. D1图确认趋势方向（MA60作为判断标准）</w:t>
      </w:r>
    </w:p>
    <w:p>
      <w:pPr>
        <w:pStyle w:val="ListStyle"/>
      </w:pPr>
      <w:r>
        <w:t>2. D1图MA5金叉MA20作为入场信号</w:t>
      </w:r>
    </w:p>
    <w:p>
      <w:pPr>
        <w:pStyle w:val="ListStyle"/>
      </w:pPr>
      <w:r>
        <w:t>3. H4图寻找精确入场点（回调至支撑位）</w:t>
      </w:r>
    </w:p>
    <w:p>
      <w:pPr>
        <w:pStyle w:val="ListStyle"/>
      </w:pPr>
      <w:r>
        <w:t>4. 止损：最近波段低点下方15-20美元</w:t>
      </w:r>
    </w:p>
    <w:p>
      <w:pPr>
        <w:pStyle w:val="ListStyle"/>
      </w:pPr>
      <w:r>
        <w:t>5. 止盈：使用移动止损（MA20跟踪）</w:t>
      </w:r>
    </w:p>
    <w:p>
      <w:pPr>
        <w:pStyle w:val="ListStyle"/>
      </w:pPr>
      <w:r>
        <w:t>6. 持仓周期：3-15个交易日</w:t>
      </w:r>
    </w:p>
    <w:p>
      <w:pPr>
        <w:pStyle w:val="Heading1Style"/>
      </w:pPr>
      <w:r>
        <w:t>九、常见交易误区</w:t>
      </w:r>
    </w:p>
    <w:p>
      <w:pPr>
        <w:pStyle w:val="Heading2Style"/>
      </w:pPr>
      <w:r>
        <w:t>9.1 技术分析误区</w:t>
      </w:r>
    </w:p>
    <w:p>
      <w:pPr>
        <w:pStyle w:val="ListStyle"/>
      </w:pPr>
      <w:r>
        <w:t>• ❌ 过度使用指标：指标不是越多越好，2-3个核心指标足够</w:t>
      </w:r>
    </w:p>
    <w:p>
      <w:pPr>
        <w:pStyle w:val="ListStyle"/>
      </w:pPr>
      <w:r>
        <w:t>• ❌ 忽视大周期：小周期服从大周期，顺大趋势交易</w:t>
      </w:r>
    </w:p>
    <w:p>
      <w:pPr>
        <w:pStyle w:val="ListStyle"/>
      </w:pPr>
      <w:r>
        <w:t>• ❌ 预测顶底：不要猜顶猜底，跟随趋势</w:t>
      </w:r>
    </w:p>
    <w:p>
      <w:pPr>
        <w:pStyle w:val="ListStyle"/>
      </w:pPr>
      <w:r>
        <w:t>• ❌ 忽略成交量：成交量验证价格突破的有效性</w:t>
      </w:r>
    </w:p>
    <w:p>
      <w:pPr>
        <w:pStyle w:val="Heading2Style"/>
      </w:pPr>
      <w:r>
        <w:t>9.2 风险管理误区</w:t>
      </w:r>
    </w:p>
    <w:p>
      <w:pPr>
        <w:pStyle w:val="ListStyle"/>
      </w:pPr>
      <w:r>
        <w:t>• ❌ 不止损：扛单是爆仓的主要原因</w:t>
      </w:r>
    </w:p>
    <w:p>
      <w:pPr>
        <w:pStyle w:val="ListStyle"/>
      </w:pPr>
      <w:r>
        <w:t>• ❌ 频繁止损：止损位设置不合理，被来回扫</w:t>
      </w:r>
    </w:p>
    <w:p>
      <w:pPr>
        <w:pStyle w:val="ListStyle"/>
      </w:pPr>
      <w:r>
        <w:t>• ❌ 重仓交易：追求短期暴利，忽视风险</w:t>
      </w:r>
    </w:p>
    <w:p>
      <w:pPr>
        <w:pStyle w:val="ListStyle"/>
      </w:pPr>
      <w:r>
        <w:t>• ❌ 亏损加仓：摊平成本可能导致更大亏损</w:t>
      </w:r>
    </w:p>
    <w:p>
      <w:pPr>
        <w:pStyle w:val="Heading2Style"/>
      </w:pPr>
      <w:r>
        <w:t>9.3 交易心理误区</w:t>
      </w:r>
    </w:p>
    <w:p>
      <w:pPr>
        <w:pStyle w:val="ListStyle"/>
      </w:pPr>
      <w:r>
        <w:t>• ❌ 贪婪：盈利后不愿止盈，最终回吐利润</w:t>
      </w:r>
    </w:p>
    <w:p>
      <w:pPr>
        <w:pStyle w:val="ListStyle"/>
      </w:pPr>
      <w:r>
        <w:t>• ❌ 恐惧：亏损时不敢止损，越扛越大</w:t>
      </w:r>
    </w:p>
    <w:p>
      <w:pPr>
        <w:pStyle w:val="ListStyle"/>
      </w:pPr>
      <w:r>
        <w:t>• ❌ 报复性交易：连续亏损后急于翻本，越做越错</w:t>
      </w:r>
    </w:p>
    <w:p>
      <w:pPr>
        <w:pStyle w:val="ListStyle"/>
      </w:pPr>
      <w:r>
        <w:t>• ❌ 过度自信：连续盈利后盲目自大，放松风控</w:t>
      </w:r>
    </w:p>
    <w:p>
      <w:pPr>
        <w:pStyle w:val="Heading1Style"/>
      </w:pPr>
      <w:r>
        <w:t>十、交易心理建设</w:t>
      </w:r>
    </w:p>
    <w:p>
      <w:pPr>
        <w:pStyle w:val="Heading2Style"/>
      </w:pPr>
      <w:r>
        <w:t>10.1 建立交易系统</w:t>
      </w:r>
    </w:p>
    <w:p>
      <w:pPr>
        <w:pStyle w:val="ListStyle"/>
      </w:pPr>
      <w:r>
        <w:t>• 明确入场条件、止损设置、止盈策略</w:t>
      </w:r>
    </w:p>
    <w:p>
      <w:pPr>
        <w:pStyle w:val="ListStyle"/>
      </w:pPr>
      <w:r>
        <w:t>• 制定仓位管理规则</w:t>
      </w:r>
    </w:p>
    <w:p>
      <w:pPr>
        <w:pStyle w:val="ListStyle"/>
      </w:pPr>
      <w:r>
        <w:t>• 写下交易计划并严格执行</w:t>
      </w:r>
    </w:p>
    <w:p>
      <w:pPr>
        <w:pStyle w:val="ListStyle"/>
      </w:pPr>
      <w:r>
        <w:t>• 系统简单可执行，避免复杂化</w:t>
      </w:r>
    </w:p>
    <w:p>
      <w:pPr>
        <w:pStyle w:val="Heading2Style"/>
      </w:pPr>
      <w:r>
        <w:t>10.2 交易日志</w:t>
      </w:r>
    </w:p>
    <w:p>
      <w:r>
        <w:t>每笔交易记录：</w:t>
      </w:r>
    </w:p>
    <w:p>
      <w:pPr>
        <w:pStyle w:val="ListStyle"/>
      </w:pPr>
      <w:r>
        <w:t>• 入场理由、止损止盈设置</w:t>
      </w:r>
    </w:p>
    <w:p>
      <w:pPr>
        <w:pStyle w:val="ListStyle"/>
      </w:pPr>
      <w:r>
        <w:t>• 实际出场点和盈亏情况</w:t>
      </w:r>
    </w:p>
    <w:p>
      <w:pPr>
        <w:pStyle w:val="ListStyle"/>
      </w:pPr>
      <w:r>
        <w:t>• 交易过程中的情绪变化</w:t>
      </w:r>
    </w:p>
    <w:p>
      <w:pPr>
        <w:pStyle w:val="ListStyle"/>
      </w:pPr>
      <w:r>
        <w:t>• 总结经验教训</w:t>
      </w:r>
    </w:p>
    <w:p>
      <w:pPr>
        <w:pStyle w:val="ListStyle"/>
      </w:pPr>
      <w:r>
        <w:t>定期（每周/每月）复盘，持续优化交易系统。</w:t>
      </w:r>
    </w:p>
    <w:p>
      <w:pPr>
        <w:pStyle w:val="Heading2Style"/>
      </w:pPr>
      <w:r>
        <w:t>10.3 心态修炼</w:t>
      </w:r>
    </w:p>
    <w:p>
      <w:pPr>
        <w:pStyle w:val="ListStyle"/>
      </w:pPr>
      <w:r>
        <w:t>• 接受亏损是交易的一部分，胜率50%-60%已很优秀</w:t>
      </w:r>
    </w:p>
    <w:p>
      <w:pPr>
        <w:pStyle w:val="ListStyle"/>
      </w:pPr>
      <w:r>
        <w:t>• 保持耐心，等待符合系统的交易机会</w:t>
      </w:r>
    </w:p>
    <w:p>
      <w:pPr>
        <w:pStyle w:val="ListStyle"/>
      </w:pPr>
      <w:r>
        <w:t>• 连续亏损时暂停交易，冷静分析原因</w:t>
      </w:r>
    </w:p>
    <w:p>
      <w:pPr>
        <w:pStyle w:val="ListStyle"/>
      </w:pPr>
      <w:r>
        <w:t>• 不要与他人比较，专注自己的成长</w:t>
      </w:r>
    </w:p>
    <w:p>
      <w:pPr>
        <w:pStyle w:val="ListStyle"/>
      </w:pPr>
      <w:r>
        <w:t>• 交易之外有生活，保持身心平衡</w:t>
      </w:r>
    </w:p>
    <w:p>
      <w:pPr>
        <w:pStyle w:val="Heading1Style"/>
      </w:pPr>
      <w:r>
        <w:t>结语</w:t>
      </w:r>
    </w:p>
    <w:p>
      <w:r>
        <w:t>黄金交易是一场马拉松，不是百米冲刺。成功的交易者不是靠一次两次的暴利，而是靠持续稳定的盈利和严格的风险管理。</w:t>
      </w:r>
    </w:p>
    <w:p>
      <w:r>
        <w:t>记住：</w:t>
      </w:r>
    </w:p>
    <w:p>
      <w:pPr>
        <w:pStyle w:val="ListStyle"/>
      </w:pPr>
      <w:r>
        <w:t>• 趋势为王，顺势而为</w:t>
      </w:r>
    </w:p>
    <w:p>
      <w:pPr>
        <w:pStyle w:val="ListStyle"/>
      </w:pPr>
      <w:r>
        <w:t>• 止损是生命线，严格执行</w:t>
      </w:r>
    </w:p>
    <w:p>
      <w:pPr>
        <w:pStyle w:val="ListStyle"/>
      </w:pPr>
      <w:r>
        <w:t>• 仓位管理决定你能走多远</w:t>
      </w:r>
    </w:p>
    <w:p>
      <w:pPr>
        <w:pStyle w:val="ListStyle"/>
      </w:pPr>
      <w:r>
        <w:t>• 持续学习，不断进化</w:t>
      </w:r>
    </w:p>
    <w:p/>
    <w:p>
      <w:pPr>
        <w:pStyle w:val="HighlightStyle"/>
      </w:pPr>
      <w:r>
        <w:t>祝您在2026年黄金市场中取得理想的投资回报！💰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 Style"/>
    <w:pPr>
      <w:spacing w:after="480"/>
      <w:jc w:val="center"/>
    </w:pPr>
    <w:rPr>
      <w:rFonts w:ascii="微软雅黑" w:hAnsi="微软雅黑"/>
      <w:b/>
      <w:color w:val="003366"/>
      <w:sz w:val="40"/>
    </w:rPr>
  </w:style>
  <w:style w:type="paragraph" w:customStyle="1" w:styleId="Heading1Style">
    <w:name w:val="Heading 1 Style"/>
    <w:pPr>
      <w:spacing w:before="360" w:after="240"/>
    </w:pPr>
    <w:rPr>
      <w:rFonts w:ascii="微软雅黑" w:hAnsi="微软雅黑"/>
      <w:b/>
      <w:color w:val="003366"/>
      <w:sz w:val="32"/>
    </w:rPr>
  </w:style>
  <w:style w:type="paragraph" w:customStyle="1" w:styleId="Heading2Style">
    <w:name w:val="Heading 2 Style"/>
    <w:pPr>
      <w:spacing w:before="280" w:after="160"/>
    </w:pPr>
    <w:rPr>
      <w:rFonts w:ascii="微软雅黑" w:hAnsi="微软雅黑"/>
      <w:b/>
      <w:color w:val="336699"/>
      <w:sz w:val="28"/>
    </w:rPr>
  </w:style>
  <w:style w:type="paragraph" w:customStyle="1" w:styleId="Heading3Style">
    <w:name w:val="Heading 3 Style"/>
    <w:pPr>
      <w:spacing w:before="200" w:after="120"/>
    </w:pPr>
    <w:rPr>
      <w:rFonts w:ascii="微软雅黑" w:hAnsi="微软雅黑"/>
      <w:b/>
      <w:color w:val="4682B4"/>
      <w:sz w:val="24"/>
    </w:rPr>
  </w:style>
  <w:style w:type="paragraph" w:customStyle="1" w:styleId="HighlightStyle">
    <w:name w:val="Highlight Style"/>
    <w:pPr>
      <w:spacing w:after="120"/>
    </w:pPr>
    <w:rPr>
      <w:rFonts w:ascii="微软雅黑" w:hAnsi="微软雅黑"/>
      <w:b/>
      <w:color w:val="CC0000"/>
      <w:sz w:val="22"/>
    </w:rPr>
  </w:style>
  <w:style w:type="paragraph" w:customStyle="1" w:styleId="ListStyle">
    <w:name w:val="List Style"/>
    <w:pPr>
      <w:spacing w:after="80"/>
      <w:ind w:left="432"/>
    </w:pPr>
    <w:rPr>
      <w:rFonts w:ascii="微软雅黑" w:hAnsi="微软雅黑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