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</w:r>
    </w:p>
    <w:p>
      <w:pPr>
        <w:spacing w:line="560" w:lineRule="exact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执法处建筑市场检查周报材料</w:t>
      </w:r>
    </w:p>
    <w:p>
      <w:pPr>
        <w:spacing w:line="560" w:lineRule="exact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</w:r>
    </w:p>
    <w:p>
      <w:pPr>
        <w:spacing w:line="560" w:lineRule="exact"/>
        <w:ind w:firstLineChars="200" w:firstLine="640"/>
      </w:pPr>
      <w:r>
        <w:rPr>
          <w:rFonts w:ascii="黑体" w:hAnsi="黑体" w:eastAsia="黑体" w:cs="黑体"/>
          <w:sz w:val="32"/>
        </w:rPr>
        <w:t>本周全市住建系统建筑市场执法情况</w:t>
      </w:r>
    </w:p>
    <w:p>
      <w:pPr>
        <w:spacing w:line="560" w:lineRule="exact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本周（7月27日-8月2日）全市住建系统共开展建筑市场执法检查104项次（上周130项次，去年同期项67次），检查量环比下降20%，同比上升55%，检查发现问题项目42项次（上周70项次，去年同期8项次），检查发现问题率环比下降13个百分点，为去年同期的3.4倍。本周市级部门对区级监管项目开展百日攻坚专项检查23项次，检查发现问题率39.1%，立案率26.1%。本周在施项目数量较多的前八个区中，海淀区检查较多，昌平区未开展检查，其中朝阳区、海淀区、西城区、大兴区、通州区均检查发现问题并拟立案处理。</w:t>
      </w:r>
    </w:p>
    <w:p>
      <w:pPr>
        <w:spacing w:line="560" w:lineRule="exact"/>
        <w:ind w:firstLineChars="200" w:firstLine="640"/>
      </w:pPr>
      <w:r>
        <w:rPr>
          <w:rFonts w:ascii="黑体" w:hAnsi="黑体" w:eastAsia="黑体" w:cs="黑体"/>
          <w:sz w:val="32"/>
        </w:rPr>
        <w:t>本周全市住建系统工程建设领域处罚情况</w:t>
      </w:r>
    </w:p>
    <w:p>
      <w:pPr>
        <w:spacing w:line="560" w:lineRule="exact"/>
        <w:ind w:firstLineChars="200" w:firstLine="640"/>
      </w:pPr>
      <w:r>
        <w:rPr>
          <w:rFonts w:ascii="仿宋_GB2312" w:hAnsi="仿宋_GB2312" w:eastAsia="仿宋_GB2312" w:cs="仿宋_GB2312"/>
          <w:sz w:val="32"/>
        </w:rPr>
        <w:t>本周（7月27日-8月2日）全市住建系统共作出工程建设领域处罚112件，（上周162件，去年同期48件），环比下降31%，为去年同期的2.3倍。在施项目数量较多的前八个区中，每百工程处罚量从高到底排名分别是通州区、大兴区、经开区、海淀区、朝阳区、丰台区、西城区、昌平区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