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rPr>
                                  <w:sz w:val="18"/>
                                  <w:lang w:val="ru-RU"/>
                                </w:rPr>
                                <w:jc w:val="center"/>
                              </w:pPr>
                              <w:r>
                                <w:rPr>
                                  <w:sz w:val="18"/>
                                  <w:lang w:val="en-US"/>
                                </w:rPr>
                                <w:t>62</w:t>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rPr>
                                      <w:sz w:val="18"/>
                                      <w:lang w:val="en-US"/>
                                    </w:rPr>
                                    <w:jc w:val="center"/>
                                  </w:pPr>
                                  <w:r>
                                    <w:rPr>
                                      <w:lang w:val="en-US"/>
                                      <w:sz w:val="24"/>
                                      <w:szCs w:val="24"/>
                                    </w:rPr>
                                    <w:t>EdgeHub-Based Closed-Loop Temperature Control System</w:t>
                                  </w:r>
                                  <w:r>
                                    <w:rPr>
                                      <w:lang w:val="en-US"/>
                                      <w:sz w:val="24"/>
                                      <w:szCs w:val="24"/>
                                    </w:rPr>
                                    <w:br/>
                                  </w:r>
                                  <w:r>
                                    <w:rPr>
                                      <w:lang w:val="en-US"/>
                                      <w:sz w:val="24"/>
                                      <w:szCs w:val="24"/>
                                    </w:rPr>
                                    <w:t>Explanatory note</w:t>
                                  </w:r>
                                </w:p>
                              </w:txbxContent>
                            </wps:txbx>
                            <wps:bodyPr rot="0" vert="horz" wrap="square" lIns="12700" tIns="0" rIns="12700" bIns="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before="0" w:after="0"/>
                                                        <w:rPr>
                                                          <w:sz w:val="18"/>
                                                          <w:szCs w:val="18"/>
                                                        </w:rPr>
                                                      </w:pPr>
                                                      <w:r>
                                                        <w:rPr>
                                                          <w:lang w:val="en-US"/>
                                                          <w:sz w:val="16"/>
                                                          <w:szCs w:val="16"/>
                                                        </w:rPr>
                                                        <w:t>V.S. Razumeichik</w:t>
                                                      </w:r>
                                                    </w:p>
                                                    <w:p w:rsidR="00B532C2" w:rsidRDefault="00B532C2"/>
                                                  </w:txbxContent>
                                                </wps:txbx>
                                                <wps:bodyPr rot="0" vert="horz" wrap="square" lIns="12700" tIns="50800" rIns="12700" bIns="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rPr>
                                                          <w:sz w:val="18"/>
                                                          <w:lang w:val="en-US"/>
                                                        </w:rPr>
                                                        <w:jc w:val="cente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rPr>
                                                            <w:rFonts w:ascii="ISOCPEUR" w:hAnsi="ISOCPEUR"/>
                                                            <w:i/>
                                                            <w:sz w:val="32"/>
                                                          </w:rPr>
                                                          <w:jc w:val="center"/>
                                                        </w:pPr>
                                                        <w:r>
                                                          <w:rPr>
                                                            <w:rFonts w:ascii="ISOCPEUR" w:hAnsi="ISOCPEUR"/>
                                                            <w:i/>
                                                            <w:sz w:val="32"/>
                                                            <w:lang w:val="en-US"/>
                                                          </w:rPr>
                                                          <w:t>БрГТУ.241297 - 05 81 00</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r>
                                                              <w:rPr>
                                                                <w:lang w:val="en-US"/>
                                                                <w:sz w:val="16"/>
                                                                <w:szCs w:val="16"/>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lang w:val="en-US"/>
                                                            <w:sz w:val="16"/>
                                                            <w:szCs w:val="16"/>
                                                          </w:rPr>
                                                        </w:pPr>
                                                        <w:r>
                                                          <w:rPr>
                                                            <w:lang w:val="en-US"/>
                                                            <w:sz w:val="16"/>
                                                            <w:szCs w:val="16"/>
                                                          </w:rPr>
                                                          <w:t>D</w:t>
                                                        </w:r>
                                                      </w:p>
                                                    </w:txbxContent>
                                                  </wps:txbx>
                                                  <wps:bodyPr rot="0" vert="horz" wrap="square" lIns="12700" tIns="0" rIns="12700" bIns="0" anchor="ctr"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INTRODUCTION</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 ANALYSIS OF TEMPERATURE CONTROL AND MONITORING SYSTEMS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1.1 Temperature-control process characteristics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1.2 Closed-loop control principles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1.3 Edge-based execution in temperature-control systems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1.4 Data acquisition and monitoring requirements</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1.5 HMI requirements for supervisory control</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1.6 Auxiliary decision-support role</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1.7 Requirements for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2 ARCHITECTURE OF THE DEVELOPED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2.1 General architecture of the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2.2 Edge control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2.3 Data Hub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2.4 HMI layer</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2.5 Closed-loop data and command flow</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2.6 Communication protocol and data model</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2.7 Auxiliary decision-support interface</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3 IMPLEMENTATION OF THE EDGE CONTROL LAYER</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3.1 Control target and hardware design scope</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3.2 Electrical schematic and pin assignment</w:t>
      </w:r>
      <w:r>
        <w:tab/>
      </w:r>
      <w:r>
        <w:rPr>
          <w:rFonts w:ascii="Times New Roman" w:hAnsi="Times New Roman" w:eastAsia="Times New Roman"/>
          <w:color w:val="000000"/>
          <w:sz w:val="26"/>
        </w:rPr>
        <w:t>26</w:t>
      </w:r>
    </w:p>
    <w:p>
      <w:pPr>
        <w:pStyle w:val="ContentsEntry"/>
        <w:tabs>
          <w:tab w:pos="9354" w:val="right" w:leader="dot"/>
        </w:tabs>
        <w:ind w:firstLine="0" w:left="0"/>
      </w:pPr>
      <w:r>
        <w:rPr>
          <w:rFonts w:ascii="Times New Roman" w:hAnsi="Times New Roman" w:eastAsia="Times New Roman"/>
          <w:color w:val="000000"/>
          <w:sz w:val="26"/>
        </w:rPr>
        <w:t>3.3 Power path and MOSFET driver design</w:t>
      </w:r>
      <w:r>
        <w:tab/>
      </w:r>
      <w:r>
        <w:rPr>
          <w:rFonts w:ascii="Times New Roman" w:hAnsi="Times New Roman" w:eastAsia="Times New Roman"/>
          <w:color w:val="000000"/>
          <w:sz w:val="26"/>
        </w:rPr>
        <w:t>27</w:t>
      </w:r>
    </w:p>
    <w:p>
      <w:pPr>
        <w:pStyle w:val="ContentsEntry"/>
        <w:tabs>
          <w:tab w:pos="9354" w:val="right" w:leader="dot"/>
        </w:tabs>
        <w:ind w:firstLine="0" w:left="0"/>
      </w:pPr>
      <w:r>
        <w:rPr>
          <w:rFonts w:ascii="Times New Roman" w:hAnsi="Times New Roman" w:eastAsia="Times New Roman"/>
          <w:color w:val="000000"/>
          <w:sz w:val="26"/>
        </w:rPr>
        <w:t>3.4 PCB and enclosure design</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3.5 Temperature measurement, feedback, and local control algorithm</w:t>
      </w:r>
      <w:r>
        <w:tab/>
      </w:r>
      <w:r>
        <w:rPr>
          <w:rFonts w:ascii="Times New Roman" w:hAnsi="Times New Roman" w:eastAsia="Times New Roman"/>
          <w:color w:val="000000"/>
          <w:sz w:val="26"/>
        </w:rPr>
        <w:t>31</w:t>
      </w:r>
    </w:p>
    <w:p>
      <w:pPr>
        <w:pStyle w:val="ContentsEntry"/>
        <w:tabs>
          <w:tab w:pos="9354" w:val="right" w:leader="dot"/>
        </w:tabs>
        <w:ind w:firstLine="0" w:left="0"/>
      </w:pPr>
      <w:r>
        <w:rPr>
          <w:rFonts w:ascii="Times New Roman" w:hAnsi="Times New Roman" w:eastAsia="Times New Roman"/>
          <w:color w:val="000000"/>
          <w:sz w:val="26"/>
        </w:rPr>
        <w:t>3.6 Runtime configuration, MQTT handling, and safety validation</w:t>
      </w:r>
      <w:r>
        <w:tab/>
      </w:r>
      <w:r>
        <w:rPr>
          <w:rFonts w:ascii="Times New Roman" w:hAnsi="Times New Roman" w:eastAsia="Times New Roman"/>
          <w:color w:val="000000"/>
          <w:sz w:val="26"/>
        </w:rPr>
        <w:t>34</w:t>
      </w:r>
    </w:p>
    <w:p>
      <w:pPr>
        <w:pStyle w:val="ContentsEntry"/>
        <w:tabs>
          <w:tab w:pos="9354" w:val="right" w:leader="dot"/>
        </w:tabs>
        <w:ind w:firstLine="0" w:left="0"/>
      </w:pPr>
      <w:r>
        <w:rPr>
          <w:rFonts w:ascii="Times New Roman" w:hAnsi="Times New Roman" w:eastAsia="Times New Roman"/>
          <w:color w:val="000000"/>
          <w:sz w:val="26"/>
        </w:rPr>
        <w:t>4 IMPLEMENTATION OF THE DATA HUB AND HMI LAYERS</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4.1 MQTT ingestion pipeline</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4.2 Message parsing and topic model</w:t>
      </w:r>
      <w:r>
        <w:tab/>
      </w:r>
      <w:r>
        <w:rPr>
          <w:rFonts w:ascii="Times New Roman" w:hAnsi="Times New Roman" w:eastAsia="Times New Roman"/>
          <w:color w:val="000000"/>
          <w:sz w:val="26"/>
        </w:rPr>
        <w:t>40</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4.3 Telemetry filtering, aggregation, and storage</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4.4 Alarm and rule processing</w:t>
      </w:r>
      <w:r>
        <w:tab/>
      </w:r>
      <w:r>
        <w:rPr>
          <w:rFonts w:ascii="Times New Roman" w:hAnsi="Times New Roman" w:eastAsia="Times New Roman"/>
          <w:color w:val="000000"/>
          <w:sz w:val="26"/>
        </w:rPr>
        <w:t>42</w:t>
      </w:r>
    </w:p>
    <w:p>
      <w:pPr>
        <w:pStyle w:val="ContentsEntry"/>
        <w:tabs>
          <w:tab w:pos="9354" w:val="right" w:leader="dot"/>
        </w:tabs>
        <w:ind w:firstLine="0" w:left="0"/>
      </w:pPr>
      <w:r>
        <w:rPr>
          <w:rFonts w:ascii="Times New Roman" w:hAnsi="Times New Roman" w:eastAsia="Times New Roman"/>
          <w:color w:val="000000"/>
          <w:sz w:val="26"/>
        </w:rPr>
        <w:t>4.5 HMI backend and frontend</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4.6 Device monitoring and parameter configuration</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5 AUXILIARY DECISION-SUPPORT AND SYSTEM VALIDATION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5.1 Purpose of decision support</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5.2 Data preparation and feature extraction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5.3 Recommendation and feedback mechanism</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5.4 Experimental setup</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5.5 Closed-loop tests</w:t>
      </w:r>
      <w:r>
        <w:tab/>
      </w:r>
      <w:r>
        <w:rPr>
          <w:rFonts w:ascii="Times New Roman" w:hAnsi="Times New Roman" w:eastAsia="Times New Roman"/>
          <w:color w:val="000000"/>
          <w:sz w:val="26"/>
        </w:rPr>
        <w:t>54</w:t>
      </w:r>
    </w:p>
    <w:p>
      <w:pPr>
        <w:pStyle w:val="ContentsEntry"/>
        <w:tabs>
          <w:tab w:pos="9354" w:val="right" w:leader="dot"/>
        </w:tabs>
        <w:ind w:firstLine="0" w:left="0"/>
      </w:pPr>
      <w:r>
        <w:rPr>
          <w:rFonts w:ascii="Times New Roman" w:hAnsi="Times New Roman" w:eastAsia="Times New Roman"/>
          <w:color w:val="000000"/>
          <w:sz w:val="26"/>
        </w:rPr>
        <w:t>5.6 Telemetry and HMI validation</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5.7 Results analysis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CONCLUSION</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62</w:t>
      </w:r>
    </w:p>
    <w:p>
      <w:pPr>
        <w:pStyle w:val="Heading1"/>
        <w:keepNext/>
        <w:pageBreakBefore/>
        <w:spacing w:line="300" w:lineRule="auto" w:after="260"/>
        <w:ind w:firstLine="709"/>
      </w:pPr>
      <w:r>
        <w:rPr>
          <w:rFonts w:ascii="Times New Roman" w:hAnsi="Times New Roman" w:eastAsia="Times New Roman"/>
          <w:b/>
          <w:color w:val="000000"/>
          <w:sz w:val="28"/>
        </w:rPr>
        <w:t>INTRODUCTION</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BodyText"/>
        <w:spacing w:line="300" w:lineRule="auto" w:before="0" w:after="0"/>
        <w:ind w:firstLine="709"/>
        <w:jc w:val="both"/>
      </w:pPr>
      <w:r>
        <w:rPr>
          <w:rFonts w:ascii="Times New Roman" w:hAnsi="Times New Roman" w:eastAsia="Times New Roman"/>
          <w:color w:val="000000"/>
          <w:sz w:val="26"/>
        </w:rPr>
        <w:t>The scope of the work is defined so that the developed prototype remains realistic for later transfer to physical equipment. The project does not treat the edge device as a passive sensor node and does not move the control decision completely to a remote service. Instead, the local device is responsible for measurement, parameter storage, control calculation, actuator command preparation, and acknowledgement of accepted configuration changes. Higher software layers are responsible for data processing, visualization, operator interaction, historical analysis, and preparation of recommendations. This separation is important because it reflects the practical engineering requirement that local control must remain stable even when supervisory services are used for monitoring and configuration.</w:t>
      </w:r>
    </w:p>
    <w:p>
      <w:pPr>
        <w:pStyle w:val="BodyText"/>
        <w:spacing w:line="300" w:lineRule="auto" w:before="0" w:after="0"/>
        <w:ind w:firstLine="709"/>
        <w:jc w:val="both"/>
      </w:pPr>
      <w:r>
        <w:rPr>
          <w:rFonts w:ascii="Times New Roman" w:hAnsi="Times New Roman" w:eastAsia="Times New Roman"/>
          <w:color w:val="000000"/>
          <w:sz w:val="26"/>
        </w:rPr>
        <w:t>The project also emphasizes that controller-parameter changes must be evaluated as part of a complete workflow. A new configuration is not considered successful only because it was entered in the interface or transmitted through MQTT. It must be accepted by the edge device, stored with a traceable parameter version, followed by new telemetry, and then compared with the expected process behavior. This approach makes it possible to use the prototype during the future hardware stage, when initial PID parameters can be obtained by a standard engineering tuning method and then checked through measured response, acknowledgement records, and historical trends.</w:t>
      </w:r>
    </w:p>
    <w:p>
      <w:pPr>
        <w:pStyle w:val="BodyText"/>
        <w:spacing w:line="300" w:lineRule="auto" w:before="0" w:after="0"/>
        <w:ind w:firstLine="709"/>
        <w:jc w:val="both"/>
      </w:pPr>
      <w:r>
        <w:rPr>
          <w:rFonts w:ascii="Times New Roman" w:hAnsi="Times New Roman" w:eastAsia="Times New Roman"/>
          <w:color w:val="000000"/>
          <w:sz w:val="26"/>
        </w:rP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1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1.1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1.2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1.3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1.4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1.5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1.6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1.7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1.1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2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2.1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785679"/>
            <wp:docPr id="1" name="Picture 1"/>
            <wp:cNvGraphicFramePr>
              <a:graphicFrameLocks noChangeAspect="1"/>
            </wp:cNvGraphicFramePr>
            <a:graphic>
              <a:graphicData uri="http://schemas.openxmlformats.org/drawingml/2006/picture">
                <pic:pic>
                  <pic:nvPicPr>
                    <pic:cNvPr id="0" name="figure_3_1_general_architecture_cropped.png"/>
                    <pic:cNvPicPr/>
                  </pic:nvPicPr>
                  <pic:blipFill>
                    <a:blip r:embed="rId9"/>
                    <a:stretch>
                      <a:fillRect/>
                    </a:stretch>
                  </pic:blipFill>
                  <pic:spPr>
                    <a:xfrm>
                      <a:off x="0" y="0"/>
                      <a:ext cx="5940000" cy="278567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2.1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are aligned around the closed-loop measurement, command, and verification path, while the auxiliary decision-support mechanism remains outside the main control chain. The layered structure of the developed system is summarized in Table 2.1.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2.2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2.3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2.4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2.5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2.2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2.6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2.7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pPr>
        <w:pStyle w:val="Heading1"/>
        <w:keepNext/>
        <w:pageBreakBefore/>
        <w:spacing w:line="300" w:lineRule="auto" w:after="260"/>
        <w:ind w:firstLine="709"/>
      </w:pPr>
      <w:r>
        <w:rPr>
          <w:rFonts w:ascii="Times New Roman" w:hAnsi="Times New Roman" w:eastAsia="Times New Roman"/>
          <w:b/>
          <w:color w:val="000000"/>
          <w:sz w:val="28"/>
        </w:rPr>
        <w:t>3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3.1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3.1.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3.2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3.3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(3.3).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3.4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3.5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(3.5)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(3.6).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(3.6), the corresponding initial relations are given by formula (3.7).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3.5.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3.6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4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4.1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4.1.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4.3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4.4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4.5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5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5.1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5.2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5.1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5.4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5.2.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5.7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CONCLUSION</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pgNumType w:start="5"/>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